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2F719" w14:textId="15A4DF98" w:rsidR="00871F8C" w:rsidRDefault="00A609F0" w:rsidP="00A609F0">
      <w:pPr>
        <w:tabs>
          <w:tab w:val="center" w:pos="4536"/>
          <w:tab w:val="right" w:pos="8280"/>
          <w:tab w:val="right" w:pos="9639"/>
        </w:tabs>
        <w:ind w:right="2"/>
        <w:rPr>
          <w:rFonts w:ascii="Arial" w:hAnsi="Arial" w:cs="Arial"/>
          <w:b/>
          <w:bCs/>
        </w:rPr>
      </w:pPr>
      <w:r w:rsidRPr="00435F1E">
        <w:rPr>
          <w:rFonts w:ascii="Arial" w:hAnsi="Arial" w:cs="Arial"/>
          <w:b/>
          <w:bCs/>
        </w:rPr>
        <w:t>3GPP TSG RAN WG1 #</w:t>
      </w:r>
      <w:r w:rsidR="00F06350">
        <w:rPr>
          <w:rFonts w:ascii="Arial" w:hAnsi="Arial" w:cs="Arial"/>
          <w:b/>
          <w:bCs/>
        </w:rPr>
        <w:t>100</w:t>
      </w:r>
      <w:r w:rsidR="0088401E">
        <w:rPr>
          <w:rFonts w:ascii="Arial" w:hAnsi="Arial" w:cs="Arial"/>
          <w:b/>
          <w:bCs/>
        </w:rPr>
        <w:t>b</w:t>
      </w:r>
      <w:r w:rsidR="009F6FF1">
        <w:rPr>
          <w:rFonts w:ascii="Arial" w:hAnsi="Arial" w:cs="Arial"/>
          <w:b/>
          <w:bCs/>
        </w:rPr>
        <w:t>is</w:t>
      </w:r>
      <w:r w:rsidRPr="00435F1E">
        <w:rPr>
          <w:rFonts w:ascii="Arial" w:hAnsi="Arial" w:cs="Arial"/>
          <w:b/>
          <w:bCs/>
        </w:rPr>
        <w:tab/>
      </w:r>
      <w:r w:rsidRPr="00435F1E">
        <w:rPr>
          <w:rFonts w:ascii="Arial" w:hAnsi="Arial" w:cs="Arial"/>
          <w:b/>
          <w:bCs/>
        </w:rPr>
        <w:tab/>
      </w:r>
      <w:r w:rsidR="00871F8C">
        <w:rPr>
          <w:rFonts w:ascii="Arial" w:hAnsi="Arial" w:cs="Arial"/>
          <w:b/>
          <w:bCs/>
        </w:rPr>
        <w:tab/>
      </w:r>
      <w:r w:rsidR="00871F8C" w:rsidRPr="00871F8C">
        <w:rPr>
          <w:rFonts w:ascii="Arial" w:hAnsi="Arial" w:cs="Arial"/>
          <w:b/>
          <w:bCs/>
        </w:rPr>
        <w:t>R1-</w:t>
      </w:r>
      <w:r w:rsidR="00F06350">
        <w:rPr>
          <w:rFonts w:ascii="Arial" w:hAnsi="Arial" w:cs="Arial"/>
          <w:b/>
          <w:bCs/>
        </w:rPr>
        <w:t>200</w:t>
      </w:r>
      <w:r w:rsidR="008309A2">
        <w:rPr>
          <w:rFonts w:ascii="Arial" w:hAnsi="Arial" w:cs="Arial"/>
          <w:b/>
          <w:bCs/>
        </w:rPr>
        <w:t>2323</w:t>
      </w:r>
    </w:p>
    <w:p w14:paraId="49C683B7" w14:textId="4C4D182C" w:rsidR="00136C56" w:rsidRPr="00210D4C" w:rsidRDefault="00004C5B" w:rsidP="00210D4C">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w:t>
      </w:r>
      <w:r w:rsidR="00A049B2">
        <w:rPr>
          <w:rFonts w:ascii="Arial" w:eastAsia="MS Mincho" w:hAnsi="Arial" w:cs="Arial"/>
          <w:b/>
          <w:bCs/>
          <w:lang w:eastAsia="ja-JP"/>
        </w:rPr>
        <w:t xml:space="preserve">, </w:t>
      </w:r>
      <w:r w:rsidR="009F6FF1">
        <w:rPr>
          <w:rFonts w:ascii="Arial" w:eastAsia="MS Mincho" w:hAnsi="Arial" w:cs="Arial"/>
          <w:b/>
          <w:bCs/>
          <w:lang w:eastAsia="ja-JP"/>
        </w:rPr>
        <w:t>April</w:t>
      </w:r>
      <w:r w:rsidR="00A609F0" w:rsidRPr="00435F1E">
        <w:rPr>
          <w:rFonts w:ascii="Arial" w:eastAsia="MS Mincho" w:hAnsi="Arial" w:cs="Arial"/>
          <w:b/>
          <w:bCs/>
          <w:lang w:eastAsia="ja-JP"/>
        </w:rPr>
        <w:t xml:space="preserve"> </w:t>
      </w:r>
      <w:r w:rsidR="00F06350">
        <w:rPr>
          <w:rFonts w:ascii="Arial" w:eastAsia="MS Mincho" w:hAnsi="Arial" w:cs="Arial"/>
          <w:b/>
          <w:bCs/>
          <w:lang w:eastAsia="ja-JP"/>
        </w:rPr>
        <w:t>2</w:t>
      </w:r>
      <w:r w:rsidR="0088401E">
        <w:rPr>
          <w:rFonts w:ascii="Arial" w:eastAsia="MS Mincho" w:hAnsi="Arial" w:cs="Arial"/>
          <w:b/>
          <w:bCs/>
          <w:lang w:eastAsia="ja-JP"/>
        </w:rPr>
        <w:t>0</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9F6FF1">
        <w:rPr>
          <w:rFonts w:ascii="Arial" w:eastAsia="MS Mincho" w:hAnsi="Arial" w:cs="Arial"/>
          <w:b/>
          <w:bCs/>
          <w:lang w:eastAsia="ja-JP"/>
        </w:rPr>
        <w:t>30</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20</w:t>
      </w:r>
      <w:r w:rsidR="00F06350">
        <w:rPr>
          <w:rFonts w:ascii="Arial" w:eastAsia="MS Mincho" w:hAnsi="Arial" w:cs="Arial"/>
          <w:b/>
          <w:bCs/>
          <w:lang w:eastAsia="ja-JP"/>
        </w:rPr>
        <w:t>20</w:t>
      </w:r>
    </w:p>
    <w:p w14:paraId="1ED9FE78" w14:textId="77777777" w:rsidR="00210D4C" w:rsidRDefault="00210D4C" w:rsidP="00311702">
      <w:pPr>
        <w:pStyle w:val="3GPPHeader"/>
      </w:pPr>
    </w:p>
    <w:p w14:paraId="5FB7E722" w14:textId="43FB6838" w:rsidR="00E90E49" w:rsidRPr="00CE30E7" w:rsidRDefault="00E90E49" w:rsidP="00311702">
      <w:pPr>
        <w:pStyle w:val="3GPPHeader"/>
      </w:pPr>
      <w:r w:rsidRPr="00CE30E7">
        <w:t>Agenda Item:</w:t>
      </w:r>
      <w:r w:rsidRPr="00CE30E7">
        <w:tab/>
      </w:r>
      <w:r w:rsidR="002E63F4" w:rsidRPr="00CE30E7">
        <w:t>7.</w:t>
      </w:r>
      <w:r w:rsidR="008A4C42" w:rsidRPr="00CE30E7">
        <w:t>2</w:t>
      </w:r>
      <w:r w:rsidR="002E63F4" w:rsidRPr="00CE30E7">
        <w:t>.</w:t>
      </w:r>
      <w:r w:rsidR="00827761" w:rsidRPr="00CE30E7">
        <w:t>4</w:t>
      </w:r>
      <w:r w:rsidR="008A4C42" w:rsidRPr="00CE30E7">
        <w:t>.</w:t>
      </w:r>
      <w:r w:rsidR="00F84005" w:rsidRPr="00CE30E7">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876C5E2" w:rsidR="00531215" w:rsidRPr="00CE30E7" w:rsidRDefault="003D3C45" w:rsidP="00311702">
      <w:pPr>
        <w:pStyle w:val="3GPPHeader"/>
      </w:pPr>
      <w:r w:rsidRPr="00CE30E7">
        <w:t>Title:</w:t>
      </w:r>
      <w:r w:rsidR="00E90E49" w:rsidRPr="00CE30E7">
        <w:tab/>
      </w:r>
      <w:r w:rsidR="009F6FF1">
        <w:t xml:space="preserve">On </w:t>
      </w:r>
      <w:r w:rsidR="00F06350">
        <w:t xml:space="preserve">Remaining </w:t>
      </w:r>
      <w:r w:rsidR="00C67F10">
        <w:t>Details</w:t>
      </w:r>
      <w:r w:rsidR="00F06350">
        <w:t xml:space="preserve"> o</w:t>
      </w:r>
      <w:r w:rsidR="002005D1">
        <w:t>f</w:t>
      </w:r>
      <w:r w:rsidR="00F06350">
        <w:t xml:space="preserve"> </w:t>
      </w:r>
      <w:r w:rsidR="00531215" w:rsidRPr="00CE30E7">
        <w:t xml:space="preserve">NR </w:t>
      </w:r>
      <w:r w:rsidR="004D1A6A" w:rsidRPr="00CE30E7">
        <w:t xml:space="preserve">V2X </w:t>
      </w:r>
      <w:r w:rsidR="00F84005" w:rsidRPr="00CE30E7">
        <w:t>Physical Layer Structure</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4F4DDEE" w14:textId="69B227F9" w:rsidR="006400C7" w:rsidRDefault="00343100" w:rsidP="00343100">
      <w:pPr>
        <w:jc w:val="both"/>
      </w:pPr>
      <w:r>
        <w:t xml:space="preserve">The </w:t>
      </w:r>
      <w:r w:rsidR="00C67F10">
        <w:t xml:space="preserve">Release-16 </w:t>
      </w:r>
      <w:r>
        <w:t xml:space="preserve">NR V2X </w:t>
      </w:r>
      <w:r w:rsidR="00C67F10">
        <w:t xml:space="preserve">specifications were approved in Dec. 2019 </w:t>
      </w:r>
      <w:r w:rsidR="00C67F10">
        <w:fldChar w:fldCharType="begin"/>
      </w:r>
      <w:r w:rsidR="00C67F10">
        <w:instrText xml:space="preserve"> REF _Ref20471832 \r \h </w:instrText>
      </w:r>
      <w:r w:rsidR="00C67F10">
        <w:fldChar w:fldCharType="separate"/>
      </w:r>
      <w:r w:rsidR="009E2E65">
        <w:t>[1]</w:t>
      </w:r>
      <w:r w:rsidR="00C67F10">
        <w:fldChar w:fldCharType="end"/>
      </w:r>
      <w:r w:rsidR="00C67F10">
        <w:t xml:space="preserve">. </w:t>
      </w:r>
      <w:r w:rsidR="009F6FF1">
        <w:t>The</w:t>
      </w:r>
      <w:r w:rsidR="00C67F10">
        <w:t xml:space="preserve"> remaining tasks for NR V2X were identified in </w:t>
      </w:r>
      <w:r w:rsidR="00C67F10">
        <w:fldChar w:fldCharType="begin"/>
      </w:r>
      <w:r w:rsidR="00C67F10">
        <w:instrText xml:space="preserve"> REF _Ref29545847 \r \h </w:instrText>
      </w:r>
      <w:r w:rsidR="00C67F10">
        <w:fldChar w:fldCharType="separate"/>
      </w:r>
      <w:r w:rsidR="009E2E65">
        <w:t>[2]</w:t>
      </w:r>
      <w:r w:rsidR="00C67F10">
        <w:fldChar w:fldCharType="end"/>
      </w:r>
      <w:r w:rsidR="009F6FF1">
        <w:t xml:space="preserve">, where some of these tasks were discussed in RAN1 meeting #100-e </w:t>
      </w:r>
      <w:r w:rsidR="009F6FF1">
        <w:fldChar w:fldCharType="begin"/>
      </w:r>
      <w:r w:rsidR="009F6FF1">
        <w:instrText xml:space="preserve"> REF _Ref34658605 \r \h </w:instrText>
      </w:r>
      <w:r w:rsidR="009F6FF1">
        <w:fldChar w:fldCharType="separate"/>
      </w:r>
      <w:r w:rsidR="009E2E65">
        <w:t>[3]</w:t>
      </w:r>
      <w:r w:rsidR="009F6FF1">
        <w:fldChar w:fldCharType="end"/>
      </w:r>
      <w:r w:rsidR="009F6FF1">
        <w:t xml:space="preserve">. </w:t>
      </w:r>
    </w:p>
    <w:p w14:paraId="073F1271" w14:textId="77777777" w:rsidR="006400C7" w:rsidRDefault="006400C7" w:rsidP="006400C7">
      <w:pPr>
        <w:jc w:val="both"/>
      </w:pPr>
    </w:p>
    <w:p w14:paraId="65E8C13E" w14:textId="43A71739" w:rsidR="006400C7" w:rsidRPr="006400C7" w:rsidRDefault="006400C7" w:rsidP="00CD60DA">
      <w:pPr>
        <w:jc w:val="both"/>
      </w:pPr>
      <w:r>
        <w:t xml:space="preserve">In this contribution, we </w:t>
      </w:r>
      <w:r w:rsidR="00C67F10">
        <w:t xml:space="preserve">discuss the details on some of the identified remaining tasks, including </w:t>
      </w:r>
      <w:r w:rsidR="00591403">
        <w:t xml:space="preserve">sidelink </w:t>
      </w:r>
      <w:r w:rsidR="00C67F10">
        <w:t>TBS determination,</w:t>
      </w:r>
      <w:r w:rsidR="0088401E">
        <w:t xml:space="preserve"> resource pool configuration,</w:t>
      </w:r>
      <w:r w:rsidR="00C67F10">
        <w:t xml:space="preserve"> initialization of the scrambling sequence generators for</w:t>
      </w:r>
      <w:r w:rsidR="00C90EE9">
        <w:t xml:space="preserve"> first stage SCI, second </w:t>
      </w:r>
      <w:r w:rsidR="00C67F10">
        <w:t>stage SCI and data transmitted on PSSCH</w:t>
      </w:r>
      <w:r w:rsidR="00C90EE9">
        <w:t>, second stage SCI formats</w:t>
      </w:r>
      <w:r w:rsidR="003C2425">
        <w:t>, as well as MCS</w:t>
      </w:r>
      <w:r w:rsidR="00F71B49">
        <w:t xml:space="preserve"> table</w:t>
      </w:r>
      <w:r w:rsidR="003C2425">
        <w:t xml:space="preserve"> for sidelink data transmissions. </w:t>
      </w:r>
      <w:r w:rsidR="00C90EE9">
        <w:t xml:space="preserve"> </w:t>
      </w:r>
    </w:p>
    <w:p w14:paraId="423292B6" w14:textId="77777777" w:rsidR="00EA5A5B" w:rsidRDefault="00EA5A5B" w:rsidP="006F0C31">
      <w:pPr>
        <w:pStyle w:val="Heading1"/>
      </w:pPr>
      <w:r>
        <w:t>Discussion</w:t>
      </w:r>
    </w:p>
    <w:p w14:paraId="66B061C1" w14:textId="674D4BD1" w:rsidR="00C90EE9" w:rsidRDefault="00591403" w:rsidP="00C90EE9">
      <w:pPr>
        <w:pStyle w:val="Heading2"/>
      </w:pPr>
      <w:r>
        <w:t xml:space="preserve">Sidelink </w:t>
      </w:r>
      <w:r w:rsidR="00C90EE9">
        <w:t xml:space="preserve">TBS Determination </w:t>
      </w:r>
    </w:p>
    <w:p w14:paraId="17A31FBA" w14:textId="28641E41" w:rsidR="00C90EE9" w:rsidRDefault="00C90EE9" w:rsidP="00C90EE9">
      <w:pPr>
        <w:jc w:val="both"/>
      </w:pPr>
      <w:r>
        <w:t xml:space="preserve">In NR </w:t>
      </w:r>
      <w:proofErr w:type="spellStart"/>
      <w:r>
        <w:t>Uu</w:t>
      </w:r>
      <w:proofErr w:type="spellEnd"/>
      <w:r>
        <w:t xml:space="preserve"> link, the transport block size (TBS) is determined by a formula or a look-up table. The selection </w:t>
      </w:r>
      <w:r w:rsidR="003C2425">
        <w:t>from</w:t>
      </w:r>
      <w:r>
        <w:t xml:space="preserve"> formula</w:t>
      </w:r>
      <w:r w:rsidR="003C2425">
        <w:t xml:space="preserve"> or</w:t>
      </w:r>
      <w:r>
        <w:t xml:space="preserve"> look-up table is based on intermediate number of information bits. Specifically, if the intermediate number is larger than 3824, then TBS is calculated by formula, otherwise, TBS is obtained from look-up table. </w:t>
      </w:r>
    </w:p>
    <w:p w14:paraId="6804EAA6" w14:textId="77777777" w:rsidR="00C90EE9" w:rsidRDefault="00C90EE9" w:rsidP="00C90EE9">
      <w:pPr>
        <w:jc w:val="both"/>
      </w:pPr>
    </w:p>
    <w:p w14:paraId="1FAAD878" w14:textId="0E0D4CD4" w:rsidR="00C90EE9" w:rsidRDefault="00C90EE9" w:rsidP="00C90EE9">
      <w:pPr>
        <w:jc w:val="both"/>
      </w:pPr>
      <w:r>
        <w:t>The intermediate number of information bits is equal to the multiplication of code rate, modulation order, number of layers and the total number of resource elements (RE) for data transmission. Under the assumption that the number of REs for data transmission in each allocated data channel resource blocks (RB) is identical, the total number of REs for data transmission is based on the calculation of the number of REs for data transmission per RB. Here, the overheads from DMRS, CSI-RS and CORESET are reduced in the calculation.</w:t>
      </w:r>
    </w:p>
    <w:p w14:paraId="2F49123F" w14:textId="696B7A0C" w:rsidR="009F6FF1" w:rsidRDefault="009F6FF1" w:rsidP="00C90EE9">
      <w:pPr>
        <w:jc w:val="both"/>
      </w:pPr>
    </w:p>
    <w:p w14:paraId="3C4153A9" w14:textId="5E006864" w:rsidR="009F6FF1" w:rsidRPr="009F6FF1" w:rsidRDefault="009F6FF1" w:rsidP="00C90EE9">
      <w:pPr>
        <w:jc w:val="both"/>
      </w:pPr>
      <w:r>
        <w:t xml:space="preserve">It was agreed </w:t>
      </w:r>
      <w:r>
        <w:fldChar w:fldCharType="begin"/>
      </w:r>
      <w:r>
        <w:instrText xml:space="preserve"> REF _Ref34658605 \r \h </w:instrText>
      </w:r>
      <w:r>
        <w:fldChar w:fldCharType="separate"/>
      </w:r>
      <w:r w:rsidR="009E2E65">
        <w:t>[3]</w:t>
      </w:r>
      <w:r>
        <w:fldChar w:fldCharType="end"/>
      </w:r>
      <w:r>
        <w:t xml:space="preserve"> that for sidelink TBS determination, the procedure steps 2), 3) and 4) in Section 5.1.3.2 of TS38.214 are reused. The only remaining issue is how to calculate the number of resource elements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for </w:t>
      </w:r>
      <w:r w:rsidR="000140A4">
        <w:t>sidelink data</w:t>
      </w:r>
      <w:r>
        <w:t xml:space="preserve">. It was further agreed </w:t>
      </w:r>
      <w:r>
        <w:fldChar w:fldCharType="begin"/>
      </w:r>
      <w:r>
        <w:instrText xml:space="preserve"> REF _Ref34658605 \r \h </w:instrText>
      </w:r>
      <w:r>
        <w:fldChar w:fldCharType="separate"/>
      </w:r>
      <w:r w:rsidR="009E2E65">
        <w:t>[3]</w:t>
      </w:r>
      <w:r>
        <w:fldChar w:fldCharType="end"/>
      </w:r>
      <w:r>
        <w:t xml:space="preserve"> that </w:t>
      </w:r>
    </w:p>
    <w:p w14:paraId="0F14C5D4" w14:textId="77777777" w:rsidR="009F6FF1" w:rsidRDefault="009F6FF1" w:rsidP="00C90EE9">
      <w:pPr>
        <w:jc w:val="both"/>
      </w:pPr>
    </w:p>
    <w:tbl>
      <w:tblPr>
        <w:tblStyle w:val="TableGrid"/>
        <w:tblW w:w="0" w:type="auto"/>
        <w:tblLook w:val="04A0" w:firstRow="1" w:lastRow="0" w:firstColumn="1" w:lastColumn="0" w:noHBand="0" w:noVBand="1"/>
      </w:tblPr>
      <w:tblGrid>
        <w:gridCol w:w="9629"/>
      </w:tblGrid>
      <w:tr w:rsidR="009F6FF1" w14:paraId="3F8A9E51" w14:textId="77777777" w:rsidTr="009F6FF1">
        <w:tc>
          <w:tcPr>
            <w:tcW w:w="9629" w:type="dxa"/>
          </w:tcPr>
          <w:p w14:paraId="7F55FF67" w14:textId="1B8F2983" w:rsidR="009F6FF1" w:rsidRPr="009F6FF1" w:rsidRDefault="009F6FF1" w:rsidP="009F6FF1">
            <w:pPr>
              <w:pStyle w:val="NormalWeb"/>
              <w:spacing w:before="0" w:beforeAutospacing="0" w:after="0" w:afterAutospacing="0"/>
              <w:rPr>
                <w:i/>
                <w:iCs/>
                <w:sz w:val="22"/>
                <w:szCs w:val="22"/>
              </w:rPr>
            </w:pPr>
            <w:r w:rsidRPr="009F6FF1">
              <w:rPr>
                <w:rStyle w:val="Emphasis"/>
                <w:i w:val="0"/>
                <w:iCs w:val="0"/>
                <w:sz w:val="22"/>
                <w:szCs w:val="22"/>
                <w:highlight w:val="green"/>
                <w:shd w:val="clear" w:color="auto" w:fill="FFFF00"/>
              </w:rPr>
              <w:t>Agreement:</w:t>
            </w:r>
          </w:p>
          <w:p w14:paraId="21341518" w14:textId="77777777" w:rsidR="009F6FF1" w:rsidRPr="009F6FF1" w:rsidRDefault="009F6FF1" w:rsidP="009F6FF1">
            <w:pPr>
              <w:pStyle w:val="NormalWeb"/>
              <w:spacing w:before="0" w:beforeAutospacing="0" w:after="0" w:afterAutospacing="0"/>
              <w:ind w:right="300"/>
              <w:rPr>
                <w:rFonts w:eastAsia="Times New Roman"/>
                <w:sz w:val="22"/>
                <w:szCs w:val="22"/>
                <w:lang w:eastAsia="ja-JP"/>
              </w:rPr>
            </w:pPr>
            <w:r w:rsidRPr="009F6FF1">
              <w:rPr>
                <w:rFonts w:eastAsia="Times New Roman"/>
                <w:sz w:val="22"/>
                <w:szCs w:val="22"/>
                <w:lang w:eastAsia="ja-JP"/>
              </w:rPr>
              <w:t>For sidelink TBS determination, N_RE</w:t>
            </w:r>
            <w:r w:rsidRPr="009F6FF1">
              <w:rPr>
                <w:rFonts w:eastAsia="Times New Roman" w:hint="eastAsia"/>
                <w:sz w:val="22"/>
                <w:szCs w:val="22"/>
                <w:lang w:eastAsia="ja-JP"/>
              </w:rPr>
              <w:t>’</w:t>
            </w:r>
            <w:r w:rsidRPr="009F6FF1">
              <w:rPr>
                <w:rFonts w:eastAsia="Times New Roman"/>
                <w:sz w:val="22"/>
                <w:szCs w:val="22"/>
                <w:lang w:eastAsia="ja-JP"/>
              </w:rPr>
              <w:t> and/or N_RE are calculated based on the procedure step 1) in 5.1.3.2 Transport block size determination of TS38.214 with the following considerations.</w:t>
            </w:r>
          </w:p>
          <w:p w14:paraId="661A0B2A" w14:textId="77777777" w:rsidR="009F6FF1" w:rsidRPr="009F6FF1" w:rsidRDefault="009F6FF1" w:rsidP="009F6FF1">
            <w:pPr>
              <w:pStyle w:val="NormalWeb"/>
              <w:numPr>
                <w:ilvl w:val="0"/>
                <w:numId w:val="41"/>
              </w:numPr>
              <w:spacing w:before="0" w:beforeAutospacing="0" w:after="0" w:afterAutospacing="0"/>
              <w:ind w:right="300"/>
              <w:rPr>
                <w:rFonts w:eastAsia="Times New Roman"/>
                <w:sz w:val="22"/>
                <w:szCs w:val="22"/>
                <w:lang w:eastAsia="ja-JP"/>
              </w:rPr>
            </w:pPr>
            <w:r w:rsidRPr="009F6FF1">
              <w:rPr>
                <w:rFonts w:eastAsia="Times New Roman"/>
                <w:sz w:val="22"/>
                <w:szCs w:val="22"/>
                <w:lang w:eastAsia="ja-JP"/>
              </w:rPr>
              <w:t>For the number of PSSCH symbols,</w:t>
            </w:r>
          </w:p>
          <w:p w14:paraId="102B351C" w14:textId="77777777" w:rsidR="009F6FF1" w:rsidRPr="009F6FF1" w:rsidRDefault="009F6FF1" w:rsidP="009F6FF1">
            <w:pPr>
              <w:pStyle w:val="NormalWeb"/>
              <w:numPr>
                <w:ilvl w:val="1"/>
                <w:numId w:val="41"/>
              </w:numPr>
              <w:spacing w:before="0" w:beforeAutospacing="0" w:after="0" w:afterAutospacing="0"/>
              <w:ind w:right="300"/>
              <w:rPr>
                <w:rFonts w:eastAsia="Times New Roman"/>
                <w:sz w:val="22"/>
                <w:szCs w:val="22"/>
                <w:lang w:eastAsia="ja-JP"/>
              </w:rPr>
            </w:pPr>
            <w:r w:rsidRPr="009F6FF1">
              <w:rPr>
                <w:rFonts w:eastAsia="Times New Roman"/>
                <w:sz w:val="22"/>
                <w:szCs w:val="22"/>
                <w:lang w:eastAsia="ja-JP"/>
              </w:rPr>
              <w:t>AGC symbol and GP symbol in the end of slot are excluded. </w:t>
            </w:r>
          </w:p>
          <w:p w14:paraId="64A12765" w14:textId="77777777" w:rsidR="009F6FF1" w:rsidRPr="009F6FF1" w:rsidRDefault="009F6FF1" w:rsidP="009F6FF1">
            <w:pPr>
              <w:pStyle w:val="NormalWeb"/>
              <w:numPr>
                <w:ilvl w:val="0"/>
                <w:numId w:val="41"/>
              </w:numPr>
              <w:spacing w:before="0" w:beforeAutospacing="0" w:after="0" w:afterAutospacing="0"/>
              <w:ind w:right="300"/>
              <w:rPr>
                <w:rFonts w:eastAsia="Times New Roman"/>
                <w:sz w:val="22"/>
                <w:szCs w:val="22"/>
                <w:lang w:eastAsia="ja-JP"/>
              </w:rPr>
            </w:pPr>
            <w:r w:rsidRPr="009F6FF1">
              <w:rPr>
                <w:rFonts w:eastAsia="Times New Roman"/>
                <w:sz w:val="22"/>
                <w:szCs w:val="22"/>
                <w:lang w:eastAsia="ja-JP"/>
              </w:rPr>
              <w:t>PSCCH overhead</w:t>
            </w:r>
          </w:p>
          <w:p w14:paraId="15713EB0" w14:textId="77777777" w:rsidR="009F6FF1" w:rsidRPr="009F6FF1" w:rsidRDefault="009F6FF1" w:rsidP="009F6FF1">
            <w:pPr>
              <w:pStyle w:val="NormalWeb"/>
              <w:numPr>
                <w:ilvl w:val="1"/>
                <w:numId w:val="41"/>
              </w:numPr>
              <w:spacing w:before="0" w:beforeAutospacing="0" w:after="0" w:afterAutospacing="0"/>
              <w:ind w:right="300"/>
              <w:rPr>
                <w:rFonts w:eastAsia="Times New Roman"/>
                <w:sz w:val="22"/>
                <w:szCs w:val="22"/>
                <w:lang w:eastAsia="ja-JP"/>
              </w:rPr>
            </w:pPr>
            <w:r w:rsidRPr="009F6FF1">
              <w:rPr>
                <w:rFonts w:eastAsia="Times New Roman"/>
                <w:sz w:val="22"/>
                <w:szCs w:val="22"/>
                <w:lang w:eastAsia="ja-JP"/>
              </w:rPr>
              <w:t>The exact number of REs for PSCCH (including PSCCH DMRS) is considered</w:t>
            </w:r>
          </w:p>
          <w:p w14:paraId="347E961E" w14:textId="77777777" w:rsidR="009F6FF1" w:rsidRPr="009F6FF1" w:rsidRDefault="009F6FF1" w:rsidP="009F6FF1">
            <w:pPr>
              <w:pStyle w:val="NormalWeb"/>
              <w:numPr>
                <w:ilvl w:val="0"/>
                <w:numId w:val="41"/>
              </w:numPr>
              <w:spacing w:before="0" w:beforeAutospacing="0" w:after="0" w:afterAutospacing="0"/>
              <w:ind w:right="300"/>
              <w:rPr>
                <w:rFonts w:eastAsia="Times New Roman"/>
                <w:sz w:val="22"/>
                <w:szCs w:val="22"/>
                <w:lang w:eastAsia="ja-JP"/>
              </w:rPr>
            </w:pPr>
            <w:r w:rsidRPr="009F6FF1">
              <w:rPr>
                <w:rFonts w:eastAsia="Times New Roman"/>
                <w:sz w:val="22"/>
                <w:szCs w:val="22"/>
                <w:lang w:eastAsia="ja-JP"/>
              </w:rPr>
              <w:t>2nd SCI overhead</w:t>
            </w:r>
          </w:p>
          <w:p w14:paraId="7751CEDE" w14:textId="77777777" w:rsidR="009F6FF1" w:rsidRPr="009F6FF1" w:rsidRDefault="009F6FF1" w:rsidP="009F6FF1">
            <w:pPr>
              <w:pStyle w:val="NormalWeb"/>
              <w:numPr>
                <w:ilvl w:val="1"/>
                <w:numId w:val="41"/>
              </w:numPr>
              <w:spacing w:before="0" w:beforeAutospacing="0" w:after="0" w:afterAutospacing="0"/>
              <w:ind w:right="300"/>
              <w:rPr>
                <w:rFonts w:eastAsia="Times New Roman"/>
                <w:sz w:val="22"/>
                <w:szCs w:val="22"/>
                <w:lang w:eastAsia="ja-JP"/>
              </w:rPr>
            </w:pPr>
            <w:r w:rsidRPr="009F6FF1">
              <w:rPr>
                <w:rFonts w:eastAsia="Times New Roman"/>
                <w:sz w:val="22"/>
                <w:szCs w:val="22"/>
                <w:lang w:eastAsia="ja-JP"/>
              </w:rPr>
              <w:t>FFS: How to consider the 2nd SCI </w:t>
            </w:r>
          </w:p>
          <w:p w14:paraId="187A0FEA" w14:textId="77777777" w:rsidR="009F6FF1" w:rsidRPr="009F6FF1" w:rsidRDefault="009F6FF1" w:rsidP="009F6FF1">
            <w:pPr>
              <w:pStyle w:val="NormalWeb"/>
              <w:numPr>
                <w:ilvl w:val="1"/>
                <w:numId w:val="41"/>
              </w:numPr>
              <w:spacing w:before="0" w:beforeAutospacing="0" w:after="0" w:afterAutospacing="0"/>
              <w:ind w:right="300"/>
              <w:rPr>
                <w:rFonts w:eastAsia="Times New Roman"/>
                <w:sz w:val="22"/>
                <w:szCs w:val="22"/>
                <w:lang w:eastAsia="ja-JP"/>
              </w:rPr>
            </w:pPr>
            <w:r w:rsidRPr="009F6FF1">
              <w:rPr>
                <w:rFonts w:eastAsia="Times New Roman"/>
                <w:sz w:val="22"/>
                <w:szCs w:val="22"/>
                <w:lang w:eastAsia="ja-JP"/>
              </w:rPr>
              <w:lastRenderedPageBreak/>
              <w:t>FFS: How to handle the relationship between PSSCH TBS determination and 2nd stage SCI modulated symbols determination. </w:t>
            </w:r>
          </w:p>
          <w:p w14:paraId="1DC141D3" w14:textId="77777777" w:rsidR="009F6FF1" w:rsidRPr="009F6FF1" w:rsidRDefault="009F6FF1" w:rsidP="009F6FF1">
            <w:pPr>
              <w:pStyle w:val="NormalWeb"/>
              <w:numPr>
                <w:ilvl w:val="0"/>
                <w:numId w:val="41"/>
              </w:numPr>
              <w:spacing w:before="0" w:beforeAutospacing="0" w:after="0" w:afterAutospacing="0"/>
              <w:ind w:right="300"/>
              <w:rPr>
                <w:rFonts w:eastAsia="Times New Roman"/>
                <w:sz w:val="22"/>
                <w:szCs w:val="22"/>
                <w:lang w:eastAsia="ja-JP"/>
              </w:rPr>
            </w:pPr>
            <w:r w:rsidRPr="009F6FF1">
              <w:rPr>
                <w:rFonts w:eastAsia="Times New Roman"/>
                <w:sz w:val="22"/>
                <w:szCs w:val="22"/>
                <w:lang w:eastAsia="ja-JP"/>
              </w:rPr>
              <w:t>FFS: how to consider PSFCH, PSSCH DMRS, GP symbols before PSFCH, SL PT-RS, SL CSI-RS</w:t>
            </w:r>
          </w:p>
          <w:p w14:paraId="1A070FE0" w14:textId="77777777" w:rsidR="009F6FF1" w:rsidRPr="009F6FF1" w:rsidRDefault="009F6FF1" w:rsidP="009F6FF1">
            <w:pPr>
              <w:pStyle w:val="NormalWeb"/>
              <w:numPr>
                <w:ilvl w:val="1"/>
                <w:numId w:val="41"/>
              </w:numPr>
              <w:spacing w:before="0" w:beforeAutospacing="0" w:after="0" w:afterAutospacing="0"/>
              <w:ind w:right="300"/>
              <w:rPr>
                <w:rFonts w:eastAsia="Times New Roman"/>
                <w:sz w:val="22"/>
                <w:szCs w:val="22"/>
                <w:lang w:eastAsia="ja-JP"/>
              </w:rPr>
            </w:pPr>
            <w:r w:rsidRPr="009F6FF1">
              <w:rPr>
                <w:rFonts w:eastAsia="Times New Roman"/>
                <w:sz w:val="22"/>
                <w:szCs w:val="22"/>
                <w:lang w:eastAsia="ja-JP"/>
              </w:rPr>
              <w:t>FFS: </w:t>
            </w:r>
            <w:proofErr w:type="spellStart"/>
            <w:r w:rsidRPr="009F6FF1">
              <w:rPr>
                <w:rFonts w:eastAsia="Times New Roman"/>
                <w:sz w:val="22"/>
                <w:szCs w:val="22"/>
                <w:lang w:eastAsia="ja-JP"/>
              </w:rPr>
              <w:t>N_oh^PRB</w:t>
            </w:r>
            <w:proofErr w:type="spellEnd"/>
            <w:r w:rsidRPr="009F6FF1">
              <w:rPr>
                <w:rFonts w:eastAsia="Times New Roman"/>
                <w:sz w:val="22"/>
                <w:szCs w:val="22"/>
                <w:lang w:eastAsia="ja-JP"/>
              </w:rPr>
              <w:t xml:space="preserve"> is introduced or not (pre-)configured per resource pool. </w:t>
            </w:r>
          </w:p>
          <w:p w14:paraId="1BF8BE26" w14:textId="77777777" w:rsidR="009F6FF1" w:rsidRPr="009F6FF1" w:rsidRDefault="009F6FF1" w:rsidP="009F6FF1">
            <w:pPr>
              <w:pStyle w:val="NormalWeb"/>
              <w:numPr>
                <w:ilvl w:val="0"/>
                <w:numId w:val="41"/>
              </w:numPr>
              <w:spacing w:before="0" w:beforeAutospacing="0" w:after="0" w:afterAutospacing="0"/>
              <w:ind w:right="300"/>
              <w:rPr>
                <w:rFonts w:eastAsia="Times New Roman"/>
                <w:sz w:val="22"/>
                <w:szCs w:val="22"/>
                <w:lang w:eastAsia="ja-JP"/>
              </w:rPr>
            </w:pPr>
            <w:r w:rsidRPr="009F6FF1">
              <w:rPr>
                <w:rFonts w:eastAsia="Times New Roman"/>
                <w:sz w:val="22"/>
                <w:szCs w:val="22"/>
                <w:lang w:eastAsia="ja-JP"/>
              </w:rPr>
              <w:t>It is RAN1</w:t>
            </w:r>
            <w:r w:rsidRPr="009F6FF1">
              <w:rPr>
                <w:rFonts w:eastAsia="Times New Roman" w:hint="eastAsia"/>
                <w:sz w:val="22"/>
                <w:szCs w:val="22"/>
                <w:lang w:eastAsia="ja-JP"/>
              </w:rPr>
              <w:t>’</w:t>
            </w:r>
            <w:r w:rsidRPr="009F6FF1">
              <w:rPr>
                <w:rFonts w:eastAsia="Times New Roman"/>
                <w:sz w:val="22"/>
                <w:szCs w:val="22"/>
                <w:lang w:eastAsia="ja-JP"/>
              </w:rPr>
              <w:t xml:space="preserve">s understanding that a UE is not expected to receive a retransmission with a TB size that is different from the last valid TB size </w:t>
            </w:r>
            <w:proofErr w:type="spellStart"/>
            <w:r w:rsidRPr="009F6FF1">
              <w:rPr>
                <w:rFonts w:eastAsia="Times New Roman"/>
                <w:sz w:val="22"/>
                <w:szCs w:val="22"/>
                <w:lang w:eastAsia="ja-JP"/>
              </w:rPr>
              <w:t>signalled</w:t>
            </w:r>
            <w:proofErr w:type="spellEnd"/>
            <w:r w:rsidRPr="009F6FF1">
              <w:rPr>
                <w:rFonts w:eastAsia="Times New Roman"/>
                <w:sz w:val="22"/>
                <w:szCs w:val="22"/>
                <w:lang w:eastAsia="ja-JP"/>
              </w:rPr>
              <w:t xml:space="preserve"> for this TB.</w:t>
            </w:r>
          </w:p>
          <w:p w14:paraId="473B0DBB" w14:textId="03A4E9A8" w:rsidR="009F6FF1" w:rsidRPr="009F6FF1" w:rsidRDefault="009F6FF1" w:rsidP="009F6FF1">
            <w:pPr>
              <w:pStyle w:val="NormalWeb"/>
              <w:numPr>
                <w:ilvl w:val="1"/>
                <w:numId w:val="41"/>
              </w:numPr>
              <w:spacing w:before="0" w:beforeAutospacing="0" w:after="0" w:afterAutospacing="0"/>
              <w:ind w:right="300"/>
              <w:rPr>
                <w:rFonts w:eastAsia="Times New Roman"/>
                <w:sz w:val="22"/>
                <w:szCs w:val="22"/>
                <w:lang w:eastAsia="ja-JP"/>
              </w:rPr>
            </w:pPr>
            <w:r w:rsidRPr="009F6FF1">
              <w:rPr>
                <w:rFonts w:eastAsia="Times New Roman"/>
                <w:sz w:val="22"/>
                <w:szCs w:val="22"/>
                <w:lang w:eastAsia="ja-JP"/>
              </w:rPr>
              <w:t>Note: The design will be such that the TBS is the same between a transmission and its re-transmission(s).</w:t>
            </w:r>
          </w:p>
        </w:tc>
      </w:tr>
    </w:tbl>
    <w:p w14:paraId="3E184116" w14:textId="7687A82A" w:rsidR="009F6FF1" w:rsidRDefault="009F6FF1" w:rsidP="00C90EE9">
      <w:pPr>
        <w:jc w:val="both"/>
      </w:pPr>
    </w:p>
    <w:p w14:paraId="36FDDDD2" w14:textId="35EFEEB4" w:rsidR="009F6FF1" w:rsidRDefault="009F6FF1" w:rsidP="009F6FF1">
      <w:pPr>
        <w:jc w:val="both"/>
      </w:pPr>
      <w:r>
        <w:t xml:space="preserve">In the following, we discuss the overhead calculation of PSFCH, GP symbol before PSFCH, </w:t>
      </w:r>
      <w:r w:rsidR="008C43CC">
        <w:t xml:space="preserve">second stage SCI, </w:t>
      </w:r>
      <w:r w:rsidR="00C61990">
        <w:t xml:space="preserve">PSSCH DMRS, </w:t>
      </w:r>
      <w:r w:rsidR="008C43CC">
        <w:t xml:space="preserve">sidelink PT-RS and sidelink CSI-RS, respectively.  </w:t>
      </w:r>
    </w:p>
    <w:p w14:paraId="0F78F103" w14:textId="77777777" w:rsidR="008C43CC" w:rsidRDefault="008C43CC" w:rsidP="008C43CC">
      <w:pPr>
        <w:jc w:val="both"/>
      </w:pPr>
    </w:p>
    <w:p w14:paraId="37A9D2AF" w14:textId="50A551D9" w:rsidR="008C43CC" w:rsidRPr="008C43CC" w:rsidRDefault="008C43CC" w:rsidP="006115ED">
      <w:pPr>
        <w:pStyle w:val="ListParagraph"/>
        <w:numPr>
          <w:ilvl w:val="0"/>
          <w:numId w:val="43"/>
        </w:numPr>
        <w:ind w:left="630" w:hanging="270"/>
        <w:jc w:val="both"/>
        <w:rPr>
          <w:rFonts w:ascii="Times New Roman" w:eastAsia="Malgun Gothic" w:hAnsi="Times New Roman"/>
          <w:sz w:val="24"/>
          <w:szCs w:val="24"/>
          <w:lang w:eastAsia="zh-CN"/>
        </w:rPr>
      </w:pPr>
      <w:r w:rsidRPr="008C43CC">
        <w:rPr>
          <w:rFonts w:ascii="Times New Roman" w:eastAsia="Malgun Gothic" w:hAnsi="Times New Roman"/>
          <w:sz w:val="24"/>
          <w:szCs w:val="24"/>
          <w:lang w:eastAsia="zh-CN"/>
        </w:rPr>
        <w:t>PSFCH</w:t>
      </w:r>
      <w:r>
        <w:rPr>
          <w:rFonts w:ascii="Times New Roman" w:eastAsia="Malgun Gothic" w:hAnsi="Times New Roman"/>
          <w:sz w:val="24"/>
          <w:szCs w:val="24"/>
          <w:lang w:eastAsia="zh-CN"/>
        </w:rPr>
        <w:t xml:space="preserve"> and GP symbol before PSFCH</w:t>
      </w:r>
    </w:p>
    <w:p w14:paraId="451CFCD5" w14:textId="44AE7B8D" w:rsidR="008C43CC" w:rsidRDefault="008C43CC" w:rsidP="008C43CC">
      <w:pPr>
        <w:jc w:val="both"/>
      </w:pPr>
      <w:r>
        <w:t xml:space="preserve">The GP symbol before PSFCH is always associated with PSFCH. Hence, it is rational to combine the overhead of GP symbol before PSFCH with the overhead of PSFCH. </w:t>
      </w:r>
    </w:p>
    <w:p w14:paraId="3F5E009B" w14:textId="77777777" w:rsidR="008C43CC" w:rsidRPr="008C43CC" w:rsidRDefault="008C43CC" w:rsidP="008C43CC">
      <w:pPr>
        <w:jc w:val="both"/>
      </w:pPr>
    </w:p>
    <w:p w14:paraId="45594547" w14:textId="4FA01997" w:rsidR="00E747A5" w:rsidRDefault="009F6FF1" w:rsidP="009F6FF1">
      <w:pPr>
        <w:jc w:val="both"/>
      </w:pPr>
      <w:r>
        <w:t xml:space="preserve">In </w:t>
      </w:r>
      <w:r w:rsidR="008C43CC">
        <w:t xml:space="preserve">a </w:t>
      </w:r>
      <w:r>
        <w:t xml:space="preserve">resource pool </w:t>
      </w:r>
      <w:r w:rsidR="004F018D">
        <w:t>(pre)</w:t>
      </w:r>
      <w:r>
        <w:t>configuration, the PSFCH</w:t>
      </w:r>
      <w:r w:rsidR="008C43CC">
        <w:t xml:space="preserve"> periodicity is either of 0, 1, 2 and 4 slots. For the case of PSFCH periodicity being 0 slot, there is no PSFCH resource configured and hence no PSFCH overhead should be counted in the sidelink TBS calculation. For the case of PSFCH periodicity being 1 slot, PSFCH </w:t>
      </w:r>
      <w:r w:rsidR="00E747A5">
        <w:t>resources</w:t>
      </w:r>
      <w:r w:rsidR="008C43CC">
        <w:t xml:space="preserve"> exist in every </w:t>
      </w:r>
      <w:r w:rsidR="00E747A5">
        <w:t xml:space="preserve">sidelink </w:t>
      </w:r>
      <w:r w:rsidR="008C43CC">
        <w:t>slot</w:t>
      </w:r>
      <w:r w:rsidR="00E747A5">
        <w:t>. Here, the number of</w:t>
      </w:r>
      <w:r w:rsidR="008C43CC">
        <w:t xml:space="preserve"> PSFCH </w:t>
      </w:r>
      <w:r w:rsidR="00E747A5">
        <w:t xml:space="preserve">symbols is counted as 3 in the overhead calculation, including a GP symbol before PSFCH and 2 PSFCH symbols. </w:t>
      </w:r>
    </w:p>
    <w:p w14:paraId="234FB2E4" w14:textId="77777777" w:rsidR="00E747A5" w:rsidRDefault="00E747A5" w:rsidP="009F6FF1">
      <w:pPr>
        <w:jc w:val="both"/>
      </w:pPr>
    </w:p>
    <w:p w14:paraId="7907FD0A" w14:textId="77777777" w:rsidR="00165269" w:rsidRDefault="00E747A5" w:rsidP="009F6FF1">
      <w:pPr>
        <w:jc w:val="both"/>
      </w:pPr>
      <w:r>
        <w:t xml:space="preserve">For the case of PSFCH periodicity being 2 or 4 slots, PSFCH resources may or may not exist in a sidelink slot. It is possible that an initial transmission occurs in a slot with PSFCH resources while retransmission(s) occur in a slot without PSFCH resources, or vice versa. To align the TBS calculation between initial transmission and retransmission(s), a </w:t>
      </w:r>
      <w:r w:rsidR="004F018D">
        <w:t>(pre)c</w:t>
      </w:r>
      <w:r w:rsidR="006115ED">
        <w:t xml:space="preserve">onfigured </w:t>
      </w:r>
      <w:r w:rsidR="000E32EA">
        <w:t xml:space="preserve">reference </w:t>
      </w:r>
      <w:r>
        <w:t>PSFCH symbol number should be</w:t>
      </w:r>
      <w:r w:rsidR="006115ED">
        <w:t xml:space="preserve"> used for the PSFCH overhead calculation. The</w:t>
      </w:r>
      <w:r>
        <w:t xml:space="preserve"> </w:t>
      </w:r>
      <w:r w:rsidR="004F018D">
        <w:t>(pre)</w:t>
      </w:r>
      <w:r>
        <w:t>configured</w:t>
      </w:r>
      <w:r w:rsidR="006115ED">
        <w:t xml:space="preserve"> </w:t>
      </w:r>
      <w:r w:rsidR="000E32EA">
        <w:t xml:space="preserve">reference </w:t>
      </w:r>
      <w:r w:rsidR="006115ED">
        <w:t xml:space="preserve">PSFCH symbol number should be between 0 and 3, and </w:t>
      </w:r>
      <w:r w:rsidR="004F018D">
        <w:t>(pre)</w:t>
      </w:r>
      <w:r w:rsidR="006115ED">
        <w:t>configuration is</w:t>
      </w:r>
      <w:r>
        <w:t xml:space="preserve"> </w:t>
      </w:r>
      <w:r w:rsidR="000E1032">
        <w:t>per PSFCH periodicity</w:t>
      </w:r>
      <w:r w:rsidR="000E32EA">
        <w:t xml:space="preserve"> (i.e., 2 or 4 slots)</w:t>
      </w:r>
      <w:r w:rsidR="000E1032">
        <w:t xml:space="preserve"> per</w:t>
      </w:r>
      <w:r>
        <w:t xml:space="preserve"> resource pool.</w:t>
      </w:r>
      <w:r w:rsidR="006D3AA4">
        <w:t xml:space="preserve"> </w:t>
      </w:r>
    </w:p>
    <w:p w14:paraId="44C45DCD" w14:textId="77777777" w:rsidR="00165269" w:rsidRDefault="00165269" w:rsidP="009F6FF1">
      <w:pPr>
        <w:jc w:val="both"/>
      </w:pPr>
    </w:p>
    <w:p w14:paraId="46380388" w14:textId="74C6BB71" w:rsidR="00E747A5" w:rsidRDefault="006D3AA4" w:rsidP="009F6FF1">
      <w:pPr>
        <w:jc w:val="both"/>
      </w:pPr>
      <w:r>
        <w:t>Overall, the number of REs for PSFCH and GP symbol before PSFCH is</w:t>
      </w:r>
    </w:p>
    <w:p w14:paraId="617963A4" w14:textId="1C5BDF67" w:rsidR="006D3AA4" w:rsidRDefault="003D7193" w:rsidP="006D3AA4">
      <w:pPr>
        <w:jc w:val="center"/>
      </w:pP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subchannel</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subchannel</m:t>
            </m:r>
          </m:sub>
          <m:sup>
            <m:r>
              <w:rPr>
                <w:rFonts w:ascii="Cambria Math" w:hAnsi="Cambria Math"/>
              </w:rPr>
              <m:t>PSSCH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rsidR="006D3AA4">
        <w:t>,</w:t>
      </w:r>
    </w:p>
    <w:p w14:paraId="55D15C94" w14:textId="3C4F480E" w:rsidR="006D3AA4" w:rsidRDefault="002005D1" w:rsidP="009F6FF1">
      <w:pPr>
        <w:jc w:val="both"/>
      </w:pPr>
      <w:r>
        <w:t>w</w:t>
      </w:r>
      <w:r w:rsidR="006D3AA4">
        <w:t xml:space="preserve">here </w:t>
      </w:r>
      <m:oMath>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006D3AA4">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subchannel</m:t>
            </m:r>
          </m:sup>
        </m:sSubSup>
      </m:oMath>
      <w:r w:rsidR="006D3AA4">
        <w:t xml:space="preserve"> is the sub-channel size (pre)configured per resource pool, </w:t>
      </w:r>
      <m:oMath>
        <m:sSubSup>
          <m:sSubSupPr>
            <m:ctrlPr>
              <w:rPr>
                <w:rFonts w:ascii="Cambria Math" w:hAnsi="Cambria Math"/>
                <w:i/>
              </w:rPr>
            </m:ctrlPr>
          </m:sSubSupPr>
          <m:e>
            <m:r>
              <w:rPr>
                <w:rFonts w:ascii="Cambria Math" w:hAnsi="Cambria Math"/>
              </w:rPr>
              <m:t>N</m:t>
            </m:r>
          </m:e>
          <m:sub>
            <m:r>
              <w:rPr>
                <w:rFonts w:ascii="Cambria Math" w:hAnsi="Cambria Math"/>
              </w:rPr>
              <m:t>subchannel</m:t>
            </m:r>
          </m:sub>
          <m:sup>
            <m:r>
              <w:rPr>
                <w:rFonts w:ascii="Cambria Math" w:hAnsi="Cambria Math"/>
              </w:rPr>
              <m:t>PSSCH</m:t>
            </m:r>
          </m:sup>
        </m:sSubSup>
      </m:oMath>
      <w:r w:rsidR="006D3AA4">
        <w:t xml:space="preserve"> is the number of scheduled sub-channels of the PSSCH</w:t>
      </w:r>
      <w:r w:rsidR="00165269">
        <w:t>,</w:t>
      </w:r>
      <w:r w:rsidR="006D3AA4">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rsidR="006D3AA4">
        <w:t xml:space="preserve"> is the (pre)configured reference </w:t>
      </w:r>
      <w:r w:rsidR="00165269">
        <w:t xml:space="preserve">number of </w:t>
      </w:r>
      <w:r w:rsidR="006D3AA4">
        <w:t>PSFCH symbol</w:t>
      </w:r>
      <w:r w:rsidR="00165269">
        <w:t>s</w:t>
      </w:r>
      <w:r w:rsidR="006D3AA4">
        <w:t xml:space="preserve">. </w:t>
      </w:r>
    </w:p>
    <w:p w14:paraId="7F99F532" w14:textId="3A4F3493" w:rsidR="008C43CC" w:rsidRDefault="008C43CC" w:rsidP="009F6FF1">
      <w:pPr>
        <w:jc w:val="both"/>
      </w:pPr>
    </w:p>
    <w:p w14:paraId="77A11F2D" w14:textId="6B32D685" w:rsidR="006115ED" w:rsidRPr="000E32EA" w:rsidRDefault="006115ED" w:rsidP="000E32EA">
      <w:pPr>
        <w:pStyle w:val="ListParagraph"/>
        <w:numPr>
          <w:ilvl w:val="0"/>
          <w:numId w:val="43"/>
        </w:numPr>
        <w:ind w:left="630" w:hanging="270"/>
        <w:jc w:val="both"/>
        <w:rPr>
          <w:rFonts w:ascii="Times New Roman" w:eastAsia="Malgun Gothic" w:hAnsi="Times New Roman"/>
          <w:sz w:val="24"/>
          <w:szCs w:val="24"/>
          <w:lang w:eastAsia="zh-CN"/>
        </w:rPr>
      </w:pPr>
      <w:r w:rsidRPr="000E32EA">
        <w:rPr>
          <w:rFonts w:ascii="Times New Roman" w:eastAsia="Malgun Gothic" w:hAnsi="Times New Roman"/>
          <w:sz w:val="24"/>
          <w:szCs w:val="24"/>
          <w:lang w:eastAsia="zh-CN"/>
        </w:rPr>
        <w:t>Second stage SCI</w:t>
      </w:r>
    </w:p>
    <w:p w14:paraId="20DDACA7" w14:textId="5C141485" w:rsidR="008C43CC" w:rsidRDefault="006115ED" w:rsidP="009F6FF1">
      <w:pPr>
        <w:jc w:val="both"/>
      </w:pPr>
      <w:r>
        <w:t xml:space="preserve">The formula to calculate the number of coded modulation symbols per layer for second stage SCI was agreed in </w:t>
      </w:r>
      <w:r>
        <w:fldChar w:fldCharType="begin"/>
      </w:r>
      <w:r>
        <w:instrText xml:space="preserve"> REF _Ref34661652 \r \h </w:instrText>
      </w:r>
      <w:r>
        <w:fldChar w:fldCharType="separate"/>
      </w:r>
      <w:r w:rsidR="009E2E65">
        <w:t>[4]</w:t>
      </w:r>
      <w:r>
        <w:fldChar w:fldCharType="end"/>
      </w:r>
      <w:r>
        <w:t xml:space="preserve">. Like in NR UCI transmissions on PUSCH, this formula depends on sidelink TBS. If the same formula is used to calculate the second stage SCI overhead for sidelink TBS, then </w:t>
      </w:r>
      <w:r w:rsidR="000140A4">
        <w:t xml:space="preserve">there is </w:t>
      </w:r>
      <w:r>
        <w:t xml:space="preserve">a cyclic dependency between TBS calculation and </w:t>
      </w:r>
      <w:r w:rsidR="002F0AC3">
        <w:t xml:space="preserve">the calculation of number of </w:t>
      </w:r>
      <w:r w:rsidR="00B50565">
        <w:t>REs</w:t>
      </w:r>
      <w:r w:rsidR="002F0AC3">
        <w:t xml:space="preserve"> for second stage SCI.</w:t>
      </w:r>
    </w:p>
    <w:p w14:paraId="7041A939" w14:textId="77777777" w:rsidR="002F0AC3" w:rsidRDefault="002F0AC3" w:rsidP="009F6FF1">
      <w:pPr>
        <w:jc w:val="both"/>
      </w:pPr>
    </w:p>
    <w:p w14:paraId="1E0B82CF" w14:textId="65878806" w:rsidR="002F0AC3" w:rsidRDefault="002F0AC3" w:rsidP="009F6FF1">
      <w:pPr>
        <w:jc w:val="both"/>
      </w:pPr>
      <w:r>
        <w:t xml:space="preserve">Here, we propose to use a new formula to calculate second stage SCI overhead </w:t>
      </w:r>
      <w:r w:rsidR="000140A4">
        <w:t xml:space="preserve">just </w:t>
      </w:r>
      <w:r>
        <w:t>for sidelink TBS</w:t>
      </w:r>
      <w:r w:rsidR="000140A4">
        <w:t xml:space="preserve"> calculation</w:t>
      </w:r>
      <w:r>
        <w:t xml:space="preserve">, where the formula does not rely on sidelink TBS. The formula is based on </w:t>
      </w:r>
      <w:r w:rsidR="006D3AA4">
        <w:t>reference param</w:t>
      </w:r>
      <w:r w:rsidR="004F018D">
        <w:t>e</w:t>
      </w:r>
      <w:r w:rsidR="006D3AA4">
        <w:t>ters</w:t>
      </w:r>
      <w:r>
        <w:t xml:space="preserve"> which </w:t>
      </w:r>
      <w:r w:rsidR="006D3AA4">
        <w:t>are</w:t>
      </w:r>
      <w:r>
        <w:t xml:space="preserve"> </w:t>
      </w:r>
      <w:r w:rsidR="004F018D">
        <w:t>(pre)</w:t>
      </w:r>
      <w:r>
        <w:t xml:space="preserve">configured per resource pool, so that the same </w:t>
      </w:r>
      <w:r w:rsidR="0088401E">
        <w:t>reference parameters</w:t>
      </w:r>
      <w:r>
        <w:t xml:space="preserve"> </w:t>
      </w:r>
      <w:r w:rsidR="0088401E">
        <w:t>are</w:t>
      </w:r>
      <w:r>
        <w:t xml:space="preserve"> used for both initial transmission and retransmission(s).</w:t>
      </w:r>
      <w:r w:rsidR="006D3AA4">
        <w:t xml:space="preserve"> We have</w:t>
      </w:r>
      <w:r>
        <w:t xml:space="preserve"> </w:t>
      </w:r>
    </w:p>
    <w:p w14:paraId="10264CA4" w14:textId="329A4F44" w:rsidR="002F0AC3" w:rsidRDefault="003D7193" w:rsidP="00B50565">
      <w:pPr>
        <w:jc w:val="center"/>
      </w:pP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SCI2</m:t>
            </m:r>
          </m:sup>
        </m:sSubSup>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SCI2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SCI2</m:t>
                                </m:r>
                              </m:sub>
                            </m:sSub>
                          </m:e>
                        </m:d>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SCI2</m:t>
                            </m:r>
                          </m:sup>
                        </m:sSubSup>
                      </m:num>
                      <m:den>
                        <m:r>
                          <w:rPr>
                            <w:rFonts w:ascii="Cambria Math" w:hAnsi="Cambria Math"/>
                          </w:rPr>
                          <m:t>2⋅R</m:t>
                        </m:r>
                      </m:den>
                    </m:f>
                  </m:e>
                </m:d>
                <m:r>
                  <w:rPr>
                    <w:rFonts w:ascii="Cambria Math" w:hAnsi="Cambria Math"/>
                  </w:rPr>
                  <m:t>,</m:t>
                </m:r>
                <m:d>
                  <m:dPr>
                    <m:begChr m:val="⌈"/>
                    <m:endChr m:val="⌉"/>
                    <m:ctrlPr>
                      <w:rPr>
                        <w:rFonts w:ascii="Cambria Math" w:hAnsi="Cambria Math"/>
                        <w:i/>
                      </w:rPr>
                    </m:ctrlPr>
                  </m:dPr>
                  <m:e>
                    <m:r>
                      <w:rPr>
                        <w:rFonts w:ascii="Cambria Math" w:hAnsi="Cambria Math"/>
                      </w:rPr>
                      <m:t>α⋅</m:t>
                    </m:r>
                    <m:nary>
                      <m:naryPr>
                        <m:chr m:val="∑"/>
                        <m:limLoc m:val="subSup"/>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SCI2</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SCI2</m:t>
                            </m:r>
                          </m:sup>
                        </m:sSubSup>
                        <m:d>
                          <m:dPr>
                            <m:ctrlPr>
                              <w:rPr>
                                <w:rFonts w:ascii="Cambria Math" w:hAnsi="Cambria Math"/>
                                <w:i/>
                              </w:rPr>
                            </m:ctrlPr>
                          </m:dPr>
                          <m:e>
                            <m:r>
                              <w:rPr>
                                <w:rFonts w:ascii="Cambria Math" w:hAnsi="Cambria Math"/>
                              </w:rPr>
                              <m:t>l</m:t>
                            </m:r>
                          </m:e>
                        </m:d>
                      </m:e>
                    </m:nary>
                  </m:e>
                </m:d>
              </m:e>
            </m:d>
          </m:e>
        </m:func>
      </m:oMath>
      <w:r w:rsidR="00B50565">
        <w:t>,</w:t>
      </w:r>
    </w:p>
    <w:p w14:paraId="0C041700" w14:textId="51FD5D0D" w:rsidR="002458B2" w:rsidRDefault="00B50565" w:rsidP="002458B2">
      <w:pPr>
        <w:jc w:val="both"/>
      </w:pPr>
      <w:r>
        <w:lastRenderedPageBreak/>
        <w:t xml:space="preserve">where </w:t>
      </w:r>
      <m:oMath>
        <m:sSub>
          <m:sSubPr>
            <m:ctrlPr>
              <w:rPr>
                <w:rFonts w:ascii="Cambria Math" w:hAnsi="Cambria Math"/>
                <w:i/>
              </w:rPr>
            </m:ctrlPr>
          </m:sSubPr>
          <m:e>
            <m:r>
              <w:rPr>
                <w:rFonts w:ascii="Cambria Math" w:hAnsi="Cambria Math"/>
              </w:rPr>
              <m:t>O</m:t>
            </m:r>
          </m:e>
          <m:sub>
            <m:r>
              <w:rPr>
                <w:rFonts w:ascii="Cambria Math" w:hAnsi="Cambria Math"/>
              </w:rPr>
              <m:t>SCI2</m:t>
            </m:r>
          </m:sub>
        </m:sSub>
      </m:oMath>
      <w:r>
        <w:t xml:space="preserve"> is the payload size of a second stage SCI format, which is indicated by the first stage SCI, </w:t>
      </w:r>
      <m:oMath>
        <m:sSub>
          <m:sSubPr>
            <m:ctrlPr>
              <w:rPr>
                <w:rFonts w:ascii="Cambria Math" w:hAnsi="Cambria Math"/>
                <w:i/>
              </w:rPr>
            </m:ctrlPr>
          </m:sSubPr>
          <m:e>
            <m:r>
              <w:rPr>
                <w:rFonts w:ascii="Cambria Math" w:hAnsi="Cambria Math"/>
              </w:rPr>
              <m:t>L</m:t>
            </m:r>
          </m:e>
          <m:sub>
            <m:r>
              <w:rPr>
                <w:rFonts w:ascii="Cambria Math" w:hAnsi="Cambria Math"/>
              </w:rPr>
              <m:t>SCI2</m:t>
            </m:r>
          </m:sub>
        </m:sSub>
      </m:oMath>
      <w:r>
        <w:t xml:space="preserve"> is the CRC length of second stage SCI,</w:t>
      </w:r>
      <w:r w:rsidR="00036E9B">
        <w:t xml:space="preserve"> </w:t>
      </w:r>
      <m:oMath>
        <m:r>
          <w:rPr>
            <w:rFonts w:ascii="Cambria Math" w:hAnsi="Cambria Math"/>
          </w:rPr>
          <m:t>R</m:t>
        </m:r>
      </m:oMath>
      <w:r w:rsidR="0099644A">
        <w:t xml:space="preserve"> is the target coding rate indicated by the first stage SCI, </w:t>
      </w:r>
      <m:oMath>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SCI2</m:t>
            </m:r>
          </m:sup>
        </m:sSubSup>
        <m:d>
          <m:dPr>
            <m:ctrlPr>
              <w:rPr>
                <w:rFonts w:ascii="Cambria Math" w:hAnsi="Cambria Math"/>
                <w:i/>
              </w:rPr>
            </m:ctrlPr>
          </m:dPr>
          <m:e>
            <m:r>
              <w:rPr>
                <w:rFonts w:ascii="Cambria Math" w:hAnsi="Cambria Math"/>
              </w:rPr>
              <m:t>l</m:t>
            </m:r>
          </m:e>
        </m:d>
      </m:oMath>
      <w:r>
        <w:t xml:space="preserve"> is the number of REs that can be used for transmission of the second stage SCI</w:t>
      </w:r>
      <w:r w:rsidR="002458B2">
        <w:t xml:space="preserve"> on the </w:t>
      </w:r>
      <m:oMath>
        <m:r>
          <w:rPr>
            <w:rFonts w:ascii="Cambria Math" w:hAnsi="Cambria Math"/>
          </w:rPr>
          <m:t>l</m:t>
        </m:r>
      </m:oMath>
      <w:r w:rsidR="002458B2">
        <w:t>-th symbol,</w:t>
      </w:r>
      <w:r w:rsidR="000E32EA">
        <w:t xml:space="preserve"> and </w:t>
      </w:r>
      <m:oMath>
        <m:r>
          <w:rPr>
            <w:rFonts w:ascii="Cambria Math" w:hAnsi="Cambria Math"/>
          </w:rPr>
          <m:t>α</m:t>
        </m:r>
      </m:oMath>
      <w:r w:rsidR="000E32EA">
        <w:t xml:space="preserve"> is the scaling factor (pre)configured per resource pool. </w:t>
      </w:r>
      <w:r w:rsidR="002458B2">
        <w:t xml:space="preserve">Note that it is expected the second stage SCI format (and hence, second stage SCI payload size) does not change between initial transmission and retransmission(s). Hence, </w:t>
      </w:r>
      <m:oMath>
        <m:sSub>
          <m:sSubPr>
            <m:ctrlPr>
              <w:rPr>
                <w:rFonts w:ascii="Cambria Math" w:hAnsi="Cambria Math"/>
                <w:i/>
              </w:rPr>
            </m:ctrlPr>
          </m:sSubPr>
          <m:e>
            <m:r>
              <w:rPr>
                <w:rFonts w:ascii="Cambria Math" w:hAnsi="Cambria Math"/>
              </w:rPr>
              <m:t>O</m:t>
            </m:r>
          </m:e>
          <m:sub>
            <m:r>
              <w:rPr>
                <w:rFonts w:ascii="Cambria Math" w:hAnsi="Cambria Math"/>
              </w:rPr>
              <m:t>SCI2</m:t>
            </m:r>
          </m:sub>
        </m:sSub>
      </m:oMath>
      <w:r w:rsidR="002458B2">
        <w:t xml:space="preserve"> indicated in initial transmission is always equal to that indicated in retransmission(s).</w:t>
      </w:r>
    </w:p>
    <w:p w14:paraId="3EACBF23" w14:textId="77777777" w:rsidR="002458B2" w:rsidRDefault="002458B2" w:rsidP="009F6FF1">
      <w:pPr>
        <w:jc w:val="both"/>
      </w:pPr>
    </w:p>
    <w:p w14:paraId="23882A4D" w14:textId="41AF2851" w:rsidR="00036E9B" w:rsidRDefault="000E32EA" w:rsidP="009F6FF1">
      <w:pPr>
        <w:jc w:val="both"/>
      </w:pPr>
      <w:r>
        <w:t>Here,</w:t>
      </w:r>
      <w:r w:rsidR="002458B2">
        <w:t xml:space="preserve"> the number of allowed symbols for second stage SCI</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SCI2</m:t>
            </m:r>
          </m:sup>
        </m:sSubSup>
      </m:oMath>
      <w:r>
        <w:t xml:space="preserve"> is </w:t>
      </w:r>
      <w:r w:rsidR="00165269">
        <w:t xml:space="preserve">equal to </w:t>
      </w:r>
      <w:r>
        <w:t xml:space="preserve">the </w:t>
      </w:r>
      <w:r w:rsidR="004F018D">
        <w:t>(pre)</w:t>
      </w:r>
      <w:r>
        <w:t>configured</w:t>
      </w:r>
      <w:r w:rsidR="00165269">
        <w:t xml:space="preserve"> number of</w:t>
      </w:r>
      <w:r>
        <w:t xml:space="preserve"> symbols for </w:t>
      </w:r>
      <w:r w:rsidR="000140A4">
        <w:t>sidelink in a slot</w:t>
      </w:r>
      <w:r w:rsidR="00165269">
        <w:t xml:space="preserve"> minus</w:t>
      </w:r>
      <w:r>
        <w:t xml:space="preserve"> AGC symbol</w:t>
      </w:r>
      <w:r w:rsidR="00221894">
        <w:t>, GP symbol</w:t>
      </w:r>
      <w:r w:rsidR="002458B2">
        <w:t xml:space="preserve"> in the end of slot</w:t>
      </w:r>
      <w:r w:rsidR="00221894">
        <w:t>,</w:t>
      </w:r>
      <w:r>
        <w:t xml:space="preserve"> and the (pre)configured</w:t>
      </w:r>
      <w:r w:rsidR="00165269">
        <w:t xml:space="preserve"> </w:t>
      </w:r>
      <w:r>
        <w:t xml:space="preserve">reference </w:t>
      </w:r>
      <w:r w:rsidR="00165269">
        <w:t xml:space="preserve">number of </w:t>
      </w:r>
      <w:r>
        <w:t xml:space="preserve">PSFCH symbols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rsidR="00165269">
        <w:t xml:space="preserve"> </w:t>
      </w:r>
      <w:r>
        <w:t>as discussed above</w:t>
      </w:r>
      <w:r w:rsidR="00221894">
        <w:t>. The</w:t>
      </w:r>
      <w:r>
        <w:t xml:space="preserve">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SCI2</m:t>
            </m:r>
          </m:sup>
        </m:sSubSup>
      </m:oMath>
      <w:r>
        <w:t xml:space="preserve"> is a reference beta offset </w:t>
      </w:r>
      <w:r w:rsidR="0063320E">
        <w:t xml:space="preserve">(pre)configured </w:t>
      </w:r>
      <w:r>
        <w:t xml:space="preserve">per resource pool. </w:t>
      </w:r>
      <w:r w:rsidR="000654FB">
        <w:t>The use of reference beta offset in second stage SCI overhead calculation allows the dynamic beta offset indicated in first stage SCI to be different in initial transmission and retransmission(s).</w:t>
      </w:r>
      <w:r w:rsidR="0081605E">
        <w:t xml:space="preserve"> </w:t>
      </w:r>
    </w:p>
    <w:p w14:paraId="6204136B" w14:textId="77777777" w:rsidR="000E32EA" w:rsidRDefault="000E32EA" w:rsidP="009F6FF1">
      <w:pPr>
        <w:jc w:val="both"/>
      </w:pPr>
    </w:p>
    <w:p w14:paraId="7802DF4C" w14:textId="50A640BE" w:rsidR="003435AB" w:rsidRPr="003435AB" w:rsidRDefault="000E32EA" w:rsidP="009F6FF1">
      <w:pPr>
        <w:pStyle w:val="ListParagraph"/>
        <w:numPr>
          <w:ilvl w:val="0"/>
          <w:numId w:val="43"/>
        </w:numPr>
        <w:ind w:left="630" w:hanging="270"/>
        <w:jc w:val="both"/>
        <w:rPr>
          <w:rFonts w:ascii="Times New Roman" w:eastAsia="Malgun Gothic" w:hAnsi="Times New Roman"/>
          <w:sz w:val="24"/>
          <w:szCs w:val="24"/>
          <w:lang w:eastAsia="zh-CN"/>
        </w:rPr>
      </w:pPr>
      <w:r w:rsidRPr="000E32EA">
        <w:rPr>
          <w:rFonts w:ascii="Times New Roman" w:eastAsia="Malgun Gothic" w:hAnsi="Times New Roman"/>
          <w:sz w:val="24"/>
          <w:szCs w:val="24"/>
          <w:lang w:eastAsia="zh-CN"/>
        </w:rPr>
        <w:t>PSSCH DMRS</w:t>
      </w:r>
    </w:p>
    <w:p w14:paraId="5291CEF1" w14:textId="0F5DC4F3" w:rsidR="003435AB" w:rsidRDefault="003435AB" w:rsidP="009F6FF1">
      <w:pPr>
        <w:jc w:val="both"/>
      </w:pPr>
      <w:r>
        <w:t xml:space="preserve">Since only DMRS configuration type 1 is agreed for frequency domain PSSCH DMRS, the number of REs for PSSCH DMRS only depends on the PSSCH DMRS time domain pattern. </w:t>
      </w:r>
      <w:r w:rsidR="00723284">
        <w:t>T</w:t>
      </w:r>
      <w:r>
        <w:t xml:space="preserve">he PSSCH DMRS time domain pattern is dynamically adjusted and signaled in the first stage SCI, </w:t>
      </w:r>
      <w:r w:rsidR="00723284">
        <w:t xml:space="preserve">hence </w:t>
      </w:r>
      <w:r>
        <w:t>the actual number of PSSCH DMRS REs can change between initial transmission and retransmission(s)</w:t>
      </w:r>
      <w:r w:rsidR="00723284">
        <w:t>. Overall, the number of REs for PSSCH DMRS is calculated by</w:t>
      </w:r>
    </w:p>
    <w:p w14:paraId="7B2A2A7E" w14:textId="50B6986C" w:rsidR="003435AB" w:rsidRDefault="003D7193" w:rsidP="00723284">
      <w:pPr>
        <w:jc w:val="center"/>
      </w:pP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PSSCH-DMRS</m:t>
            </m:r>
          </m:sup>
        </m:sSubSup>
        <m:r>
          <w:rPr>
            <w:rFonts w:ascii="Cambria Math" w:hAnsi="Cambria Math"/>
          </w:rPr>
          <m:t>=</m:t>
        </m:r>
        <m:nary>
          <m:naryPr>
            <m:chr m:val="∑"/>
            <m:limLoc m:val="subSup"/>
            <m:ctrlPr>
              <w:rPr>
                <w:rFonts w:ascii="Cambria Math" w:hAnsi="Cambria Math"/>
                <w:i/>
              </w:rPr>
            </m:ctrlPr>
          </m:naryPr>
          <m:sub>
            <m:r>
              <w:rPr>
                <w:rFonts w:ascii="Cambria Math" w:hAnsi="Cambria Math"/>
              </w:rPr>
              <m:t>i=0</m:t>
            </m:r>
          </m:sub>
          <m:sup>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PSSCH-DMRS</m:t>
                </m:r>
              </m:sup>
            </m:sSubSup>
          </m:sup>
          <m:e>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PSSCH-DMRS</m:t>
                </m:r>
              </m:sup>
            </m:sSubSup>
            <m:d>
              <m:dPr>
                <m:ctrlPr>
                  <w:rPr>
                    <w:rFonts w:ascii="Cambria Math" w:hAnsi="Cambria Math"/>
                    <w:i/>
                  </w:rPr>
                </m:ctrlPr>
              </m:dPr>
              <m:e>
                <m:r>
                  <w:rPr>
                    <w:rFonts w:ascii="Cambria Math" w:hAnsi="Cambria Math"/>
                  </w:rPr>
                  <m:t>i</m:t>
                </m:r>
              </m:e>
            </m:d>
          </m:e>
        </m:nary>
      </m:oMath>
      <w:r w:rsidR="00723284">
        <w:t>,</w:t>
      </w:r>
    </w:p>
    <w:p w14:paraId="6E0B8D4F" w14:textId="1122EB41" w:rsidR="007C309A" w:rsidRDefault="00723284" w:rsidP="007C309A">
      <w:pPr>
        <w:jc w:val="both"/>
      </w:pP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PSSCH-DMRS</m:t>
            </m:r>
          </m:sup>
        </m:sSubSup>
      </m:oMath>
      <w:r>
        <w:t xml:space="preserve"> is the number of PSSCH DMRS symbols and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PSSCH-DMRS</m:t>
            </m:r>
          </m:sup>
        </m:sSubSup>
        <m:d>
          <m:dPr>
            <m:ctrlPr>
              <w:rPr>
                <w:rFonts w:ascii="Cambria Math" w:hAnsi="Cambria Math"/>
                <w:i/>
              </w:rPr>
            </m:ctrlPr>
          </m:dPr>
          <m:e>
            <m:r>
              <w:rPr>
                <w:rFonts w:ascii="Cambria Math" w:hAnsi="Cambria Math"/>
              </w:rPr>
              <m:t>i</m:t>
            </m:r>
          </m:e>
        </m:d>
      </m:oMath>
      <w:r>
        <w:t xml:space="preserve"> is the number of REs that can be used for PSSCH DMRS</w:t>
      </w:r>
      <w:r w:rsidR="0063320E">
        <w:t xml:space="preserve"> on the </w:t>
      </w:r>
      <m:oMath>
        <m:r>
          <w:rPr>
            <w:rFonts w:ascii="Cambria Math" w:hAnsi="Cambria Math"/>
          </w:rPr>
          <m:t>i</m:t>
        </m:r>
      </m:oMath>
      <w:r w:rsidR="0063320E">
        <w:t>-th symbol</w:t>
      </w:r>
      <w:r>
        <w:t xml:space="preserve">. To align the TBS calculation from initial transmission and retransmission(s), the value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PSSCH-DMRS</m:t>
            </m:r>
          </m:sup>
        </m:sSubSup>
      </m:oMath>
      <w:r>
        <w:t xml:space="preserve"> needs to be (pre)configured per resource pool. </w:t>
      </w:r>
      <w:r w:rsidR="0081605E">
        <w:t>It is preferred that</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PSSCH-DMRS</m:t>
            </m:r>
          </m:sup>
        </m:sSubSup>
      </m:oMath>
      <w:r w:rsidR="0081605E">
        <w:t xml:space="preserve"> is</w:t>
      </w:r>
      <w:r>
        <w:t xml:space="preserve"> selected from the </w:t>
      </w:r>
      <w:r w:rsidR="00DA348F">
        <w:t>(pre)</w:t>
      </w:r>
      <w:r>
        <w:t xml:space="preserve">configured set of PSSCH DMRS time domain patterns, where the selection depends on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t xml:space="preserve">. Specifically, if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r>
          <w:rPr>
            <w:rFonts w:ascii="Cambria Math" w:hAnsi="Cambria Math"/>
          </w:rPr>
          <m:t>=0</m:t>
        </m:r>
      </m:oMath>
      <w:r>
        <w:t xml:space="preserve">, then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PSSCH-DMRS</m:t>
            </m:r>
          </m:sup>
        </m:sSubSup>
      </m:oMath>
      <w:r>
        <w:t xml:space="preserve"> is the largest in the </w:t>
      </w:r>
      <w:r w:rsidR="004F018D">
        <w:t>(pre)</w:t>
      </w:r>
      <w:r>
        <w:t xml:space="preserve">configured set of PSSCH DMRS time domain patterns; if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r>
          <w:rPr>
            <w:rFonts w:ascii="Cambria Math" w:hAnsi="Cambria Math"/>
          </w:rPr>
          <m:t>=3</m:t>
        </m:r>
      </m:oMath>
      <w:r>
        <w:t xml:space="preserve">, then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PSSCH-DMRS</m:t>
            </m:r>
          </m:sup>
        </m:sSubSup>
      </m:oMath>
      <w:r>
        <w:t xml:space="preserve"> is the smallest in the </w:t>
      </w:r>
      <w:r w:rsidR="004F018D">
        <w:t>(pre)</w:t>
      </w:r>
      <w:r>
        <w:t xml:space="preserve">configured set of PSSCH DMRS time domain patterns. </w:t>
      </w:r>
    </w:p>
    <w:p w14:paraId="154F963D" w14:textId="294350D8" w:rsidR="007C309A" w:rsidRDefault="007C309A" w:rsidP="007C309A">
      <w:pPr>
        <w:jc w:val="both"/>
      </w:pPr>
    </w:p>
    <w:p w14:paraId="1681282B" w14:textId="518315CE" w:rsidR="007C309A" w:rsidRDefault="00D0586A" w:rsidP="007C309A">
      <w:pPr>
        <w:pStyle w:val="ListParagraph"/>
        <w:numPr>
          <w:ilvl w:val="0"/>
          <w:numId w:val="43"/>
        </w:numPr>
        <w:ind w:left="630" w:hanging="27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Sidelink </w:t>
      </w:r>
      <w:r w:rsidR="007C309A" w:rsidRPr="007C309A">
        <w:rPr>
          <w:rFonts w:ascii="Times New Roman" w:eastAsia="Malgun Gothic" w:hAnsi="Times New Roman"/>
          <w:sz w:val="24"/>
          <w:szCs w:val="24"/>
          <w:lang w:eastAsia="zh-CN"/>
        </w:rPr>
        <w:t>PTRS</w:t>
      </w:r>
    </w:p>
    <w:p w14:paraId="5BD704BD" w14:textId="5AF80210" w:rsidR="003435AB" w:rsidRDefault="007C309A" w:rsidP="009F6FF1">
      <w:pPr>
        <w:jc w:val="both"/>
      </w:pPr>
      <w:r>
        <w:t>The time density of sidelink PTRS depends on</w:t>
      </w:r>
      <w:r w:rsidR="00D0586A">
        <w:t xml:space="preserve"> </w:t>
      </w:r>
      <w:r w:rsidR="00036E9B">
        <w:t>the</w:t>
      </w:r>
      <w:r>
        <w:t xml:space="preserve"> </w:t>
      </w:r>
      <w:r w:rsidR="00D0586A">
        <w:t xml:space="preserve">MCS </w:t>
      </w:r>
      <w:r w:rsidR="00036E9B">
        <w:t xml:space="preserve">indicated in the first stage SCI and the frequency density of sidelink PTRS depends on scheduled bandwidth of PSSCH. </w:t>
      </w:r>
    </w:p>
    <w:p w14:paraId="01928A4A" w14:textId="77777777" w:rsidR="00D0586A" w:rsidRDefault="00D0586A" w:rsidP="009F6FF1">
      <w:pPr>
        <w:jc w:val="both"/>
      </w:pPr>
    </w:p>
    <w:p w14:paraId="2AD576E4" w14:textId="7B63D6EC" w:rsidR="00D0586A" w:rsidRPr="00D0586A" w:rsidRDefault="00D0586A" w:rsidP="00D0586A">
      <w:pPr>
        <w:pStyle w:val="ListParagraph"/>
        <w:numPr>
          <w:ilvl w:val="0"/>
          <w:numId w:val="43"/>
        </w:numPr>
        <w:ind w:left="630" w:hanging="270"/>
        <w:jc w:val="both"/>
        <w:rPr>
          <w:rFonts w:ascii="Times New Roman" w:eastAsia="Malgun Gothic" w:hAnsi="Times New Roman"/>
          <w:sz w:val="24"/>
          <w:szCs w:val="24"/>
          <w:lang w:eastAsia="zh-CN"/>
        </w:rPr>
      </w:pPr>
      <w:r w:rsidRPr="00D0586A">
        <w:rPr>
          <w:rFonts w:ascii="Times New Roman" w:eastAsia="Malgun Gothic" w:hAnsi="Times New Roman"/>
          <w:sz w:val="24"/>
          <w:szCs w:val="24"/>
          <w:lang w:eastAsia="zh-CN"/>
        </w:rPr>
        <w:t>Sidelink CSI-RS</w:t>
      </w:r>
    </w:p>
    <w:p w14:paraId="18167E9F" w14:textId="384F7854" w:rsidR="00D0586A" w:rsidRPr="003435AB" w:rsidRDefault="00D0586A" w:rsidP="009F6FF1">
      <w:pPr>
        <w:jc w:val="both"/>
      </w:pPr>
      <w:r>
        <w:t xml:space="preserve">The sidelink CSI-RS only exists for sidelink unicast. Hence, the sidelink CSI-RS overhead should only be counted for sidelink unicast. Also, the number of </w:t>
      </w:r>
      <w:r w:rsidR="00DA348F">
        <w:t>(pre)</w:t>
      </w:r>
      <w:r>
        <w:t xml:space="preserve">configured CSI-RS port(s) should be used in the calculation of sidelink CSI-RS overhead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CSI-RS</m:t>
            </m:r>
          </m:sup>
        </m:sSubSup>
      </m:oMath>
      <w:r>
        <w:t xml:space="preserve">. </w:t>
      </w:r>
    </w:p>
    <w:p w14:paraId="2D015D9F" w14:textId="3071A8FB" w:rsidR="00D0586A" w:rsidRDefault="00D0586A" w:rsidP="009F6FF1">
      <w:pPr>
        <w:jc w:val="both"/>
      </w:pPr>
    </w:p>
    <w:p w14:paraId="136C7E47" w14:textId="42CD2838" w:rsidR="00D0586A" w:rsidRPr="003435AB" w:rsidRDefault="00D0586A" w:rsidP="009F6FF1">
      <w:pPr>
        <w:jc w:val="both"/>
      </w:pPr>
      <w:r>
        <w:t xml:space="preserve">Finally, the number of REs allocated for </w:t>
      </w:r>
      <w:r w:rsidR="0032739A">
        <w:t>sidelink</w:t>
      </w:r>
      <w:r>
        <w:t xml:space="preserve"> data is given by </w:t>
      </w:r>
    </w:p>
    <w:p w14:paraId="62233F41" w14:textId="0D6C0EC4" w:rsidR="003435AB" w:rsidRDefault="003D7193" w:rsidP="007C309A">
      <w:pPr>
        <w:jc w:val="center"/>
      </w:pPr>
      <m:oMath>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PSCCH/PSSCH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PSCCH</m:t>
            </m: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SCI2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PSSCH-DMRS</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PTRS</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CSI-RS</m:t>
            </m:r>
          </m:sup>
        </m:sSubSup>
      </m:oMath>
      <w:r w:rsidR="007C309A">
        <w:t>,</w:t>
      </w:r>
    </w:p>
    <w:p w14:paraId="057F28AF" w14:textId="5BE748C5" w:rsidR="007C309A" w:rsidRDefault="007C309A" w:rsidP="009F6FF1">
      <w:pPr>
        <w:jc w:val="both"/>
      </w:pP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PSCCH/PSSCH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subchannel</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subchannel</m:t>
            </m:r>
          </m:sub>
          <m:sup>
            <m:r>
              <w:rPr>
                <w:rFonts w:ascii="Cambria Math" w:hAnsi="Cambria Math"/>
              </w:rPr>
              <m:t>PSSCH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m:t>
            </m:r>
          </m:sup>
        </m:sSubSup>
      </m:oMath>
      <w:r>
        <w:t xml:space="preserve"> is the total number of REs allocated for </w:t>
      </w:r>
      <w:r w:rsidR="0081605E">
        <w:t>sidelink</w:t>
      </w:r>
      <w:r>
        <w:t xml:space="preserve"> transmissions</w:t>
      </w:r>
      <w:r w:rsidR="004F018D">
        <w:t>, with</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m:t>
            </m:r>
          </m:sup>
        </m:sSubSup>
      </m:oMath>
      <w:r>
        <w:t xml:space="preserve"> not includ</w:t>
      </w:r>
      <w:r w:rsidR="004F018D">
        <w:t>ing</w:t>
      </w:r>
      <w:r>
        <w:t xml:space="preserve"> AGC symbol and </w:t>
      </w:r>
      <w:r w:rsidRPr="007C309A">
        <w:t>GP symbol in the end of slot</w:t>
      </w:r>
      <w:r w:rsidR="004F018D">
        <w:t>, and</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PSCCH</m:t>
            </m:r>
          </m:sup>
        </m:sSubSup>
      </m:oMath>
      <w:r w:rsidR="00D0586A">
        <w:t xml:space="preserve"> is the number of PSCCH overhead with exact number calculated based on resource pool (pre)configuration. </w:t>
      </w:r>
    </w:p>
    <w:p w14:paraId="7E4733BD" w14:textId="77777777" w:rsidR="00C90EE9" w:rsidRPr="00C15005" w:rsidRDefault="00C90EE9" w:rsidP="00C90EE9">
      <w:pPr>
        <w:jc w:val="both"/>
        <w:rPr>
          <w:iCs/>
        </w:rPr>
      </w:pPr>
    </w:p>
    <w:p w14:paraId="1DF09612" w14:textId="462A9F92" w:rsidR="00C61990" w:rsidRDefault="00C61990" w:rsidP="00C61990">
      <w:pPr>
        <w:jc w:val="both"/>
        <w:rPr>
          <w:i/>
        </w:rPr>
      </w:pPr>
      <w:r w:rsidRPr="001C381A">
        <w:rPr>
          <w:b/>
          <w:i/>
          <w:u w:val="single"/>
        </w:rPr>
        <w:lastRenderedPageBreak/>
        <w:t xml:space="preserve">Proposal </w:t>
      </w:r>
      <w:r>
        <w:rPr>
          <w:b/>
          <w:i/>
          <w:u w:val="single"/>
        </w:rPr>
        <w:t>1</w:t>
      </w:r>
      <w:r w:rsidRPr="001C381A">
        <w:rPr>
          <w:b/>
          <w:i/>
          <w:u w:val="single"/>
        </w:rPr>
        <w:t>:</w:t>
      </w:r>
      <w:r w:rsidRPr="001C381A">
        <w:rPr>
          <w:i/>
        </w:rPr>
        <w:t xml:space="preserve"> </w:t>
      </w:r>
      <w:r>
        <w:rPr>
          <w:i/>
        </w:rPr>
        <w:t xml:space="preserve">In sidelink TBS determination, the number of sidelink data REs is calculated by deducting overheads from the total number of REs used for sidelink transmission in a slot excluding AGC symbol and GP symbol in the end of slot. Specifically, </w:t>
      </w:r>
      <m:oMath>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PSCCH/PSSCH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PSCCH</m:t>
            </m: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SCI2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PSSCH-DMRS</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PTRS</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CSI-RS</m:t>
            </m:r>
          </m:sup>
        </m:sSubSup>
      </m:oMath>
      <w:r>
        <w:rPr>
          <w:i/>
        </w:rPr>
        <w:t>.</w:t>
      </w:r>
    </w:p>
    <w:p w14:paraId="602CB68C" w14:textId="5B67A34A" w:rsidR="00C90EE9" w:rsidRDefault="00C90EE9" w:rsidP="00C90EE9">
      <w:pPr>
        <w:jc w:val="both"/>
        <w:rPr>
          <w:i/>
        </w:rPr>
      </w:pPr>
    </w:p>
    <w:p w14:paraId="27EED80C" w14:textId="5DC75EE2" w:rsidR="001C21C5" w:rsidRDefault="0032739A" w:rsidP="0032739A">
      <w:pPr>
        <w:jc w:val="both"/>
        <w:rPr>
          <w:i/>
        </w:rPr>
      </w:pPr>
      <w:r w:rsidRPr="001C381A">
        <w:rPr>
          <w:b/>
          <w:i/>
          <w:u w:val="single"/>
        </w:rPr>
        <w:t xml:space="preserve">Proposal </w:t>
      </w:r>
      <w:r w:rsidR="004F018D">
        <w:rPr>
          <w:b/>
          <w:i/>
          <w:u w:val="single"/>
        </w:rPr>
        <w:t>1a</w:t>
      </w:r>
      <w:r w:rsidRPr="001C381A">
        <w:rPr>
          <w:b/>
          <w:i/>
          <w:u w:val="single"/>
        </w:rPr>
        <w:t>:</w:t>
      </w:r>
      <w:r w:rsidRPr="001C381A">
        <w:rPr>
          <w:i/>
        </w:rPr>
        <w:t xml:space="preserve"> </w:t>
      </w:r>
      <w:r>
        <w:rPr>
          <w:i/>
        </w:rPr>
        <w:t xml:space="preserve">In sidelink </w:t>
      </w:r>
      <w:r w:rsidRPr="00F0142B">
        <w:rPr>
          <w:i/>
        </w:rPr>
        <w:t>TBS determination</w:t>
      </w:r>
      <w:r>
        <w:rPr>
          <w:i/>
        </w:rPr>
        <w:t>, the</w:t>
      </w:r>
      <w:r w:rsidR="001C21C5">
        <w:rPr>
          <w:i/>
        </w:rPr>
        <w:t xml:space="preserve"> </w:t>
      </w:r>
      <w:r>
        <w:rPr>
          <w:i/>
        </w:rPr>
        <w:t xml:space="preserve">PSFCH overhead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PSFCH</m:t>
            </m:r>
          </m:sup>
        </m:sSubSup>
      </m:oMath>
      <w:r w:rsidR="004F018D">
        <w:rPr>
          <w:i/>
        </w:rPr>
        <w:t xml:space="preserve"> </w:t>
      </w:r>
      <w:r>
        <w:rPr>
          <w:i/>
        </w:rPr>
        <w:t xml:space="preserve">is </w:t>
      </w:r>
      <w:r w:rsidR="001C21C5">
        <w:rPr>
          <w:i/>
        </w:rPr>
        <w:t xml:space="preserve">calculated by setting the </w:t>
      </w:r>
      <w:r w:rsidR="00C61990">
        <w:rPr>
          <w:i/>
        </w:rPr>
        <w:t xml:space="preserve">reference </w:t>
      </w:r>
      <w:r w:rsidR="001C21C5">
        <w:rPr>
          <w:i/>
        </w:rPr>
        <w:t xml:space="preserve">number of PSFCH symbols (including GP symbol before PSFCH)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rsidR="001C21C5">
        <w:rPr>
          <w:i/>
        </w:rPr>
        <w:t xml:space="preserve"> as 3 if PSFCH periodicity is 1 slot; 0 if PSFCH periodicity is 0 slot; a (pre)configured value of resource pool if PSFCH periodicity is 2 or 4 slots.</w:t>
      </w:r>
    </w:p>
    <w:p w14:paraId="4716AAD9" w14:textId="00750F85" w:rsidR="0032739A" w:rsidRDefault="0032739A" w:rsidP="0032739A">
      <w:pPr>
        <w:jc w:val="both"/>
        <w:rPr>
          <w:i/>
        </w:rPr>
      </w:pPr>
    </w:p>
    <w:p w14:paraId="3FF8C308" w14:textId="05E78EBF" w:rsidR="0032739A" w:rsidRPr="0032739A" w:rsidRDefault="0032739A" w:rsidP="0032739A">
      <w:pPr>
        <w:jc w:val="both"/>
        <w:rPr>
          <w:i/>
        </w:rPr>
      </w:pPr>
      <w:r w:rsidRPr="001C381A">
        <w:rPr>
          <w:b/>
          <w:i/>
          <w:u w:val="single"/>
        </w:rPr>
        <w:t xml:space="preserve">Proposal </w:t>
      </w:r>
      <w:r w:rsidR="004F018D">
        <w:rPr>
          <w:b/>
          <w:i/>
          <w:u w:val="single"/>
        </w:rPr>
        <w:t>1b</w:t>
      </w:r>
      <w:r w:rsidRPr="001C381A">
        <w:rPr>
          <w:b/>
          <w:i/>
          <w:u w:val="single"/>
        </w:rPr>
        <w:t>:</w:t>
      </w:r>
      <w:r w:rsidRPr="001C381A">
        <w:rPr>
          <w:i/>
        </w:rPr>
        <w:t xml:space="preserve"> </w:t>
      </w:r>
      <w:r>
        <w:rPr>
          <w:i/>
        </w:rPr>
        <w:t xml:space="preserve">In sidelink </w:t>
      </w:r>
      <w:r w:rsidRPr="00F0142B">
        <w:rPr>
          <w:i/>
        </w:rPr>
        <w:t>TBS determination</w:t>
      </w:r>
      <w:r>
        <w:rPr>
          <w:i/>
        </w:rPr>
        <w:t xml:space="preserve">, the second stage SCI overhead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SCI2</m:t>
            </m:r>
          </m:sup>
        </m:sSubSup>
      </m:oMath>
      <w:r w:rsidR="004F018D">
        <w:rPr>
          <w:i/>
        </w:rPr>
        <w:t xml:space="preserve"> </w:t>
      </w:r>
      <w:r>
        <w:rPr>
          <w:i/>
        </w:rPr>
        <w:t xml:space="preserve">is calculated by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SCI2</m:t>
            </m:r>
          </m:sup>
        </m:sSubSup>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SCI2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SCI2</m:t>
                                </m:r>
                              </m:sub>
                            </m:sSub>
                          </m:e>
                        </m:d>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SCI2</m:t>
                            </m:r>
                          </m:sup>
                        </m:sSubSup>
                      </m:num>
                      <m:den>
                        <m:r>
                          <w:rPr>
                            <w:rFonts w:ascii="Cambria Math" w:hAnsi="Cambria Math"/>
                          </w:rPr>
                          <m:t>2⋅R</m:t>
                        </m:r>
                      </m:den>
                    </m:f>
                  </m:e>
                </m:d>
                <m:r>
                  <w:rPr>
                    <w:rFonts w:ascii="Cambria Math" w:hAnsi="Cambria Math"/>
                  </w:rPr>
                  <m:t>,</m:t>
                </m:r>
                <m:d>
                  <m:dPr>
                    <m:begChr m:val="⌈"/>
                    <m:endChr m:val="⌉"/>
                    <m:ctrlPr>
                      <w:rPr>
                        <w:rFonts w:ascii="Cambria Math" w:hAnsi="Cambria Math"/>
                        <w:i/>
                      </w:rPr>
                    </m:ctrlPr>
                  </m:dPr>
                  <m:e>
                    <m:r>
                      <w:rPr>
                        <w:rFonts w:ascii="Cambria Math" w:hAnsi="Cambria Math"/>
                      </w:rPr>
                      <m:t>α⋅</m:t>
                    </m:r>
                    <m:nary>
                      <m:naryPr>
                        <m:chr m:val="∑"/>
                        <m:limLoc m:val="subSup"/>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SCI2</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SCI2</m:t>
                            </m:r>
                          </m:sup>
                        </m:sSubSup>
                        <m:d>
                          <m:dPr>
                            <m:ctrlPr>
                              <w:rPr>
                                <w:rFonts w:ascii="Cambria Math" w:hAnsi="Cambria Math"/>
                                <w:i/>
                              </w:rPr>
                            </m:ctrlPr>
                          </m:dPr>
                          <m:e>
                            <m:r>
                              <w:rPr>
                                <w:rFonts w:ascii="Cambria Math" w:hAnsi="Cambria Math"/>
                              </w:rPr>
                              <m:t>l</m:t>
                            </m:r>
                          </m:e>
                        </m:d>
                      </m:e>
                    </m:nary>
                  </m:e>
                </m:d>
              </m:e>
            </m:d>
          </m:e>
        </m:func>
      </m:oMath>
      <w:r w:rsidRPr="0032739A">
        <w:rPr>
          <w:i/>
          <w:iCs/>
        </w:rPr>
        <w:t>, where</w:t>
      </w:r>
      <w:r>
        <w:rPr>
          <w:i/>
          <w:iCs/>
        </w:rPr>
        <w:t xml:space="preserve"> the second stage SCI payload size</w:t>
      </w:r>
      <w:r w:rsidR="004F018D">
        <w:rPr>
          <w:i/>
          <w:iCs/>
        </w:rPr>
        <w:t xml:space="preserve"> </w:t>
      </w:r>
      <m:oMath>
        <m:sSub>
          <m:sSubPr>
            <m:ctrlPr>
              <w:rPr>
                <w:rFonts w:ascii="Cambria Math" w:hAnsi="Cambria Math"/>
                <w:i/>
                <w:iCs/>
              </w:rPr>
            </m:ctrlPr>
          </m:sSubPr>
          <m:e>
            <m:r>
              <w:rPr>
                <w:rFonts w:ascii="Cambria Math" w:hAnsi="Cambria Math"/>
              </w:rPr>
              <m:t>O</m:t>
            </m:r>
          </m:e>
          <m:sub>
            <m:r>
              <w:rPr>
                <w:rFonts w:ascii="Cambria Math" w:hAnsi="Cambria Math"/>
              </w:rPr>
              <m:t>SCI2</m:t>
            </m:r>
          </m:sub>
        </m:sSub>
      </m:oMath>
      <w:r>
        <w:rPr>
          <w:i/>
          <w:iCs/>
        </w:rPr>
        <w:t xml:space="preserve"> is indicated by the first stage SCI</w:t>
      </w:r>
      <w:r w:rsidR="00165269">
        <w:rPr>
          <w:i/>
          <w:iCs/>
        </w:rPr>
        <w:t xml:space="preserve">, the number of </w:t>
      </w:r>
      <w:r w:rsidR="002458B2">
        <w:rPr>
          <w:i/>
          <w:iCs/>
        </w:rPr>
        <w:t xml:space="preserve">allowed </w:t>
      </w:r>
      <w:r w:rsidR="00165269">
        <w:rPr>
          <w:i/>
          <w:iCs/>
        </w:rPr>
        <w:t xml:space="preserve">second stage SCI symbols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SCI2</m:t>
            </m:r>
          </m:sup>
        </m:sSubSup>
      </m:oMath>
      <w:r w:rsidR="00165269">
        <w:rPr>
          <w:i/>
        </w:rPr>
        <w:t xml:space="preserve"> is equal to the (pre)configured number of symbols used for sidelink in a slot minus AGC symbol, GP symbol in the end of slot, and the reference number of PSFCH symbols</w:t>
      </w:r>
      <w:r>
        <w:rPr>
          <w:i/>
          <w:iCs/>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rsidR="00165269">
        <w:rPr>
          <w:i/>
          <w:iCs/>
        </w:rPr>
        <w:t xml:space="preserve">, </w:t>
      </w:r>
      <w:r>
        <w:rPr>
          <w:i/>
          <w:iCs/>
        </w:rPr>
        <w:t xml:space="preserve">and </w:t>
      </w:r>
      <w:r w:rsidR="000654FB">
        <w:rPr>
          <w:i/>
          <w:iCs/>
        </w:rPr>
        <w:t xml:space="preserve">the </w:t>
      </w:r>
      <w:r>
        <w:rPr>
          <w:i/>
          <w:iCs/>
        </w:rPr>
        <w:t xml:space="preserve">reference beta offset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SCI2</m:t>
            </m:r>
          </m:sup>
        </m:sSubSup>
      </m:oMath>
      <w:r w:rsidR="004F018D">
        <w:rPr>
          <w:i/>
        </w:rPr>
        <w:t xml:space="preserve"> </w:t>
      </w:r>
      <w:r w:rsidR="00036E9B">
        <w:rPr>
          <w:i/>
          <w:iCs/>
        </w:rPr>
        <w:t>is</w:t>
      </w:r>
      <w:r>
        <w:rPr>
          <w:i/>
          <w:iCs/>
        </w:rPr>
        <w:t xml:space="preserve"> (pre)configured by resource pool. </w:t>
      </w:r>
      <w:r w:rsidR="00CA30C8">
        <w:rPr>
          <w:i/>
          <w:iCs/>
        </w:rPr>
        <w:t xml:space="preserve"> </w:t>
      </w:r>
    </w:p>
    <w:p w14:paraId="25E10E0D" w14:textId="77777777" w:rsidR="0032739A" w:rsidRDefault="0032739A" w:rsidP="0032739A">
      <w:pPr>
        <w:jc w:val="both"/>
        <w:rPr>
          <w:i/>
        </w:rPr>
      </w:pPr>
    </w:p>
    <w:p w14:paraId="7576A076" w14:textId="004CB714" w:rsidR="00C90EE9" w:rsidRDefault="0032739A" w:rsidP="00C90EE9">
      <w:pPr>
        <w:jc w:val="both"/>
        <w:rPr>
          <w:i/>
        </w:rPr>
      </w:pPr>
      <w:r w:rsidRPr="001C381A">
        <w:rPr>
          <w:b/>
          <w:i/>
          <w:u w:val="single"/>
        </w:rPr>
        <w:t xml:space="preserve">Proposal </w:t>
      </w:r>
      <w:r w:rsidR="004F018D">
        <w:rPr>
          <w:b/>
          <w:i/>
          <w:u w:val="single"/>
        </w:rPr>
        <w:t>1c</w:t>
      </w:r>
      <w:r w:rsidRPr="001C381A">
        <w:rPr>
          <w:b/>
          <w:i/>
          <w:u w:val="single"/>
        </w:rPr>
        <w:t>:</w:t>
      </w:r>
      <w:r w:rsidRPr="001C381A">
        <w:rPr>
          <w:i/>
        </w:rPr>
        <w:t xml:space="preserve"> </w:t>
      </w:r>
      <w:r>
        <w:rPr>
          <w:i/>
        </w:rPr>
        <w:t xml:space="preserve">In sidelink </w:t>
      </w:r>
      <w:r w:rsidRPr="00F0142B">
        <w:rPr>
          <w:i/>
        </w:rPr>
        <w:t>TBS determination</w:t>
      </w:r>
      <w:r>
        <w:rPr>
          <w:i/>
        </w:rPr>
        <w:t xml:space="preserve">, the PSSCH DMRS overhead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PSSCH-DMRS</m:t>
            </m:r>
          </m:sup>
        </m:sSubSup>
      </m:oMath>
      <w:r w:rsidR="004F018D">
        <w:rPr>
          <w:i/>
        </w:rPr>
        <w:t xml:space="preserve"> </w:t>
      </w:r>
      <w:r>
        <w:rPr>
          <w:i/>
        </w:rPr>
        <w:t>is calculated by</w:t>
      </w:r>
      <w:r w:rsidR="004F018D">
        <w:rPr>
          <w:i/>
        </w:rPr>
        <w:t xml:space="preserve"> </w:t>
      </w:r>
      <m:oMath>
        <m:nary>
          <m:naryPr>
            <m:chr m:val="∑"/>
            <m:limLoc m:val="subSup"/>
            <m:ctrlPr>
              <w:rPr>
                <w:rFonts w:ascii="Cambria Math" w:hAnsi="Cambria Math"/>
                <w:i/>
              </w:rPr>
            </m:ctrlPr>
          </m:naryPr>
          <m:sub>
            <m:r>
              <w:rPr>
                <w:rFonts w:ascii="Cambria Math" w:hAnsi="Cambria Math"/>
              </w:rPr>
              <m:t>i=0</m:t>
            </m:r>
          </m:sub>
          <m:sup>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PSSCH-DMRS</m:t>
                </m:r>
              </m:sup>
            </m:sSubSup>
          </m:sup>
          <m:e>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PSSCH-DMRS</m:t>
                </m:r>
              </m:sup>
            </m:sSubSup>
            <m:d>
              <m:dPr>
                <m:ctrlPr>
                  <w:rPr>
                    <w:rFonts w:ascii="Cambria Math" w:hAnsi="Cambria Math"/>
                    <w:i/>
                  </w:rPr>
                </m:ctrlPr>
              </m:dPr>
              <m:e>
                <m:r>
                  <w:rPr>
                    <w:rFonts w:ascii="Cambria Math" w:hAnsi="Cambria Math"/>
                  </w:rPr>
                  <m:t>i</m:t>
                </m:r>
              </m:e>
            </m:d>
          </m:e>
        </m:nary>
      </m:oMath>
      <w:r w:rsidR="004F018D">
        <w:rPr>
          <w:i/>
        </w:rPr>
        <w:t xml:space="preserve">, </w:t>
      </w:r>
      <w:r>
        <w:rPr>
          <w:i/>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PSSCH-DMRS</m:t>
            </m:r>
          </m:sup>
        </m:sSubSup>
      </m:oMath>
      <w:r>
        <w:rPr>
          <w:i/>
        </w:rPr>
        <w:t xml:space="preserve"> is selected from (pre)configured DMRS time patterns based on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rPr>
          <w:i/>
        </w:rPr>
        <w:t xml:space="preserve">. </w:t>
      </w:r>
    </w:p>
    <w:p w14:paraId="2BD8769E" w14:textId="772E773B" w:rsidR="0032739A" w:rsidRDefault="0032739A" w:rsidP="00C90EE9">
      <w:pPr>
        <w:jc w:val="both"/>
        <w:rPr>
          <w:i/>
        </w:rPr>
      </w:pPr>
    </w:p>
    <w:p w14:paraId="4CA11D20" w14:textId="6C62B5FC" w:rsidR="00DA348F" w:rsidRDefault="00DA348F" w:rsidP="00C90EE9">
      <w:pPr>
        <w:jc w:val="both"/>
        <w:rPr>
          <w:i/>
        </w:rPr>
      </w:pPr>
      <w:r w:rsidRPr="001C381A">
        <w:rPr>
          <w:b/>
          <w:i/>
          <w:u w:val="single"/>
        </w:rPr>
        <w:t xml:space="preserve">Proposal </w:t>
      </w:r>
      <w:r>
        <w:rPr>
          <w:b/>
          <w:i/>
          <w:u w:val="single"/>
        </w:rPr>
        <w:t>1d</w:t>
      </w:r>
      <w:r w:rsidRPr="001C381A">
        <w:rPr>
          <w:b/>
          <w:i/>
          <w:u w:val="single"/>
        </w:rPr>
        <w:t>:</w:t>
      </w:r>
      <w:r w:rsidRPr="001C381A">
        <w:rPr>
          <w:i/>
        </w:rPr>
        <w:t xml:space="preserve"> </w:t>
      </w:r>
      <w:r>
        <w:rPr>
          <w:i/>
        </w:rPr>
        <w:t xml:space="preserve">In sidelink </w:t>
      </w:r>
      <w:r w:rsidRPr="00F0142B">
        <w:rPr>
          <w:i/>
        </w:rPr>
        <w:t>TBS determination</w:t>
      </w:r>
      <w:r>
        <w:rPr>
          <w:i/>
        </w:rPr>
        <w:t xml:space="preserve">, the sidelink PTRS overhead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PTRS</m:t>
            </m:r>
          </m:sup>
        </m:sSubSup>
      </m:oMath>
      <w:r>
        <w:rPr>
          <w:i/>
        </w:rPr>
        <w:t xml:space="preserve"> is based on </w:t>
      </w:r>
      <w:r w:rsidR="000654FB">
        <w:rPr>
          <w:i/>
        </w:rPr>
        <w:t xml:space="preserve">the scheduled </w:t>
      </w:r>
      <w:r>
        <w:rPr>
          <w:i/>
        </w:rPr>
        <w:t>MCS and scheduled PSSCH bandwidth.</w:t>
      </w:r>
    </w:p>
    <w:p w14:paraId="683D370F" w14:textId="77777777" w:rsidR="00DA348F" w:rsidRDefault="00DA348F" w:rsidP="00C90EE9">
      <w:pPr>
        <w:jc w:val="both"/>
        <w:rPr>
          <w:i/>
        </w:rPr>
      </w:pPr>
    </w:p>
    <w:p w14:paraId="293E296C" w14:textId="4481582D" w:rsidR="0032739A" w:rsidRDefault="0032739A" w:rsidP="00C90EE9">
      <w:pPr>
        <w:jc w:val="both"/>
        <w:rPr>
          <w:i/>
        </w:rPr>
      </w:pPr>
      <w:r w:rsidRPr="001C381A">
        <w:rPr>
          <w:b/>
          <w:i/>
          <w:u w:val="single"/>
        </w:rPr>
        <w:t xml:space="preserve">Proposal </w:t>
      </w:r>
      <w:r w:rsidR="004F018D">
        <w:rPr>
          <w:b/>
          <w:i/>
          <w:u w:val="single"/>
        </w:rPr>
        <w:t>1</w:t>
      </w:r>
      <w:r w:rsidR="00DA348F">
        <w:rPr>
          <w:b/>
          <w:i/>
          <w:u w:val="single"/>
        </w:rPr>
        <w:t>e</w:t>
      </w:r>
      <w:r w:rsidRPr="001C381A">
        <w:rPr>
          <w:b/>
          <w:i/>
          <w:u w:val="single"/>
        </w:rPr>
        <w:t>:</w:t>
      </w:r>
      <w:r w:rsidRPr="001C381A">
        <w:rPr>
          <w:i/>
        </w:rPr>
        <w:t xml:space="preserve"> </w:t>
      </w:r>
      <w:r>
        <w:rPr>
          <w:i/>
        </w:rPr>
        <w:t xml:space="preserve">In sidelink </w:t>
      </w:r>
      <w:r w:rsidRPr="00F0142B">
        <w:rPr>
          <w:i/>
        </w:rPr>
        <w:t>TBS determination</w:t>
      </w:r>
      <w:r>
        <w:rPr>
          <w:i/>
        </w:rPr>
        <w:t xml:space="preserve">, the sidelink CSI-RS overhead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CSI-RS</m:t>
            </m:r>
          </m:sup>
        </m:sSubSup>
      </m:oMath>
      <w:r w:rsidR="004F018D">
        <w:rPr>
          <w:i/>
        </w:rPr>
        <w:t xml:space="preserve"> </w:t>
      </w:r>
      <w:r>
        <w:rPr>
          <w:i/>
        </w:rPr>
        <w:t>is only counted for sidelink unicast.</w:t>
      </w:r>
    </w:p>
    <w:p w14:paraId="5B031B70" w14:textId="77777777" w:rsidR="00374839" w:rsidRDefault="00374839" w:rsidP="00C90EE9">
      <w:pPr>
        <w:jc w:val="both"/>
        <w:rPr>
          <w:i/>
        </w:rPr>
      </w:pPr>
    </w:p>
    <w:p w14:paraId="42F3559C" w14:textId="77777777" w:rsidR="00A965DB" w:rsidRDefault="00A965DB" w:rsidP="00EA5A5B">
      <w:pPr>
        <w:pStyle w:val="Heading2"/>
      </w:pPr>
      <w:r>
        <w:t>Resource Pool Configuration</w:t>
      </w:r>
    </w:p>
    <w:p w14:paraId="671D26DC" w14:textId="7E8855A2" w:rsidR="00105A8C" w:rsidRDefault="001F44DF" w:rsidP="00A965DB">
      <w:pPr>
        <w:jc w:val="both"/>
      </w:pPr>
      <w:r>
        <w:t xml:space="preserve">It is agreed </w:t>
      </w:r>
      <w:r>
        <w:rPr>
          <w:iCs/>
        </w:rPr>
        <w:fldChar w:fldCharType="begin"/>
      </w:r>
      <w:r>
        <w:rPr>
          <w:iCs/>
        </w:rPr>
        <w:instrText xml:space="preserve"> REF _Ref34658605 \r \h </w:instrText>
      </w:r>
      <w:r>
        <w:rPr>
          <w:iCs/>
        </w:rPr>
      </w:r>
      <w:r>
        <w:rPr>
          <w:iCs/>
        </w:rPr>
        <w:fldChar w:fldCharType="separate"/>
      </w:r>
      <w:r w:rsidR="009E2E65">
        <w:rPr>
          <w:iCs/>
        </w:rPr>
        <w:t>[3]</w:t>
      </w:r>
      <w:r>
        <w:rPr>
          <w:iCs/>
        </w:rPr>
        <w:fldChar w:fldCharType="end"/>
      </w:r>
      <w:r>
        <w:t xml:space="preserve"> that</w:t>
      </w:r>
      <w:r w:rsidR="002B5A33">
        <w:t xml:space="preserve"> slots</w:t>
      </w:r>
      <w:r w:rsidR="00021940">
        <w:t xml:space="preserve"> for a resource pool is (pre)configured with bitmap, which is applied with periodicity. The bitmap length and the periodicity have not been determined. In our view, the periodicity can be set as 10240 </w:t>
      </w:r>
      <w:proofErr w:type="spellStart"/>
      <w:r w:rsidR="00021940">
        <w:t>ms</w:t>
      </w:r>
      <w:proofErr w:type="spellEnd"/>
      <w:r w:rsidR="00021940">
        <w:t xml:space="preserve">, as in LTE V2X. This is aligned with SFN </w:t>
      </w:r>
      <w:r w:rsidR="004A4510">
        <w:t>cycle</w:t>
      </w:r>
      <w:r w:rsidR="00021940">
        <w:t xml:space="preserve">. </w:t>
      </w:r>
    </w:p>
    <w:p w14:paraId="3569BA9E" w14:textId="77777777" w:rsidR="00071841" w:rsidRDefault="00071841" w:rsidP="00A965DB">
      <w:pPr>
        <w:jc w:val="both"/>
      </w:pPr>
    </w:p>
    <w:p w14:paraId="37FA17FD" w14:textId="295E9AB5" w:rsidR="00021940" w:rsidRDefault="004A4510" w:rsidP="00A965DB">
      <w:pPr>
        <w:jc w:val="both"/>
      </w:pPr>
      <w:r>
        <w:t xml:space="preserve">In LTE V2X, the bitmap length depends on 3-bit TDD configuration indication in either </w:t>
      </w:r>
      <w:r w:rsidR="00D43AED">
        <w:t xml:space="preserve">PSBCH or in SIB1. More flexible TDD configuration is supported in </w:t>
      </w:r>
      <w:r w:rsidR="00105A8C">
        <w:t xml:space="preserve">NR </w:t>
      </w:r>
      <w:proofErr w:type="spellStart"/>
      <w:r w:rsidR="00105A8C">
        <w:t>Uu</w:t>
      </w:r>
      <w:proofErr w:type="spellEnd"/>
      <w:r w:rsidR="00105A8C">
        <w:t>, with configurations in “TDD-UL-DL-</w:t>
      </w:r>
      <w:proofErr w:type="spellStart"/>
      <w:r w:rsidR="00105A8C">
        <w:t>ConfigCommon</w:t>
      </w:r>
      <w:proofErr w:type="spellEnd"/>
      <w:r w:rsidR="00105A8C">
        <w:t>” IE.</w:t>
      </w:r>
      <w:r w:rsidR="00071841">
        <w:t xml:space="preserve"> </w:t>
      </w:r>
      <w:r w:rsidR="00105A8C">
        <w:t xml:space="preserve">However, due to the payload size limitation, the PSBCH only supports 12-bit TDD configuration indication. Hence, the TDD configuration indication in PSBCH may be mis-aligned with the TDD configuration in NR </w:t>
      </w:r>
      <w:proofErr w:type="spellStart"/>
      <w:r w:rsidR="00105A8C">
        <w:t>Uu</w:t>
      </w:r>
      <w:proofErr w:type="spellEnd"/>
      <w:r w:rsidR="00105A8C">
        <w:t>.</w:t>
      </w:r>
      <w:r w:rsidR="00FE14FD">
        <w:t xml:space="preserve"> </w:t>
      </w:r>
      <w:r w:rsidR="00071841">
        <w:t xml:space="preserve">Here, from the common multiple of all possible combination of periodicity, we propose </w:t>
      </w:r>
      <m:oMath>
        <m:sSub>
          <m:sSubPr>
            <m:ctrlPr>
              <w:rPr>
                <w:rFonts w:ascii="Cambria Math" w:hAnsi="Cambria Math"/>
                <w:i/>
              </w:rPr>
            </m:ctrlPr>
          </m:sSubPr>
          <m:e>
            <m:r>
              <w:rPr>
                <w:rFonts w:ascii="Cambria Math" w:hAnsi="Cambria Math"/>
              </w:rPr>
              <m:t>L</m:t>
            </m:r>
          </m:e>
          <m:sub>
            <m:r>
              <w:rPr>
                <w:rFonts w:ascii="Cambria Math" w:hAnsi="Cambria Math"/>
              </w:rPr>
              <m:t>bitmap</m:t>
            </m:r>
          </m:sub>
        </m:sSub>
        <m:r>
          <w:rPr>
            <w:rFonts w:ascii="Cambria Math" w:hAnsi="Cambria Math"/>
          </w:rPr>
          <m:t>=20⋅</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071841">
        <w:t xml:space="preserve">, where </w:t>
      </w:r>
      <m:oMath>
        <m:r>
          <w:rPr>
            <w:rFonts w:ascii="Cambria Math" w:hAnsi="Cambria Math"/>
          </w:rPr>
          <m:t>μ</m:t>
        </m:r>
      </m:oMath>
      <w:r w:rsidR="00071841">
        <w:t xml:space="preserve"> is the sidelink SCS. </w:t>
      </w:r>
    </w:p>
    <w:p w14:paraId="16582406" w14:textId="7354E9CC" w:rsidR="001F44DF" w:rsidRDefault="001F44DF" w:rsidP="00A965DB">
      <w:pPr>
        <w:jc w:val="both"/>
      </w:pPr>
    </w:p>
    <w:p w14:paraId="760AD648" w14:textId="190485F5" w:rsidR="00A965DB" w:rsidRDefault="00A965DB" w:rsidP="00A965DB">
      <w:pPr>
        <w:jc w:val="both"/>
        <w:rPr>
          <w:i/>
        </w:rPr>
      </w:pPr>
      <w:r>
        <w:rPr>
          <w:b/>
          <w:i/>
          <w:u w:val="single"/>
        </w:rPr>
        <w:t>P</w:t>
      </w:r>
      <w:r w:rsidRPr="001C381A">
        <w:rPr>
          <w:b/>
          <w:i/>
          <w:u w:val="single"/>
        </w:rPr>
        <w:t xml:space="preserve">roposal </w:t>
      </w:r>
      <w:r w:rsidR="000654FB">
        <w:rPr>
          <w:b/>
          <w:i/>
          <w:u w:val="single"/>
        </w:rPr>
        <w:t>2</w:t>
      </w:r>
      <w:r w:rsidRPr="001C381A">
        <w:rPr>
          <w:b/>
          <w:i/>
          <w:u w:val="single"/>
        </w:rPr>
        <w:t>:</w:t>
      </w:r>
      <w:r w:rsidRPr="001C381A">
        <w:rPr>
          <w:i/>
        </w:rPr>
        <w:t xml:space="preserve"> </w:t>
      </w:r>
      <w:r w:rsidR="002B5A33">
        <w:rPr>
          <w:i/>
        </w:rPr>
        <w:t xml:space="preserve">For time domain resources of a resource pool, the periodicity is 10240 </w:t>
      </w:r>
      <w:proofErr w:type="spellStart"/>
      <w:r w:rsidR="002B5A33">
        <w:rPr>
          <w:i/>
        </w:rPr>
        <w:t>ms</w:t>
      </w:r>
      <w:proofErr w:type="spellEnd"/>
      <w:r w:rsidR="007957D7">
        <w:rPr>
          <w:i/>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bitmap</m:t>
            </m:r>
          </m:sub>
        </m:sSub>
      </m:oMath>
      <w:r w:rsidR="007957D7">
        <w:rPr>
          <w:i/>
        </w:rPr>
        <w:t xml:space="preserve"> is </w:t>
      </w:r>
      <m:oMath>
        <m:r>
          <w:rPr>
            <w:rFonts w:ascii="Cambria Math" w:hAnsi="Cambria Math"/>
          </w:rPr>
          <m:t>20⋅</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045CA3">
        <w:rPr>
          <w:i/>
        </w:rPr>
        <w:t>.</w:t>
      </w:r>
    </w:p>
    <w:p w14:paraId="0D5F3586" w14:textId="51347F74" w:rsidR="00A965DB" w:rsidRDefault="00A965DB" w:rsidP="00A965DB">
      <w:pPr>
        <w:jc w:val="both"/>
        <w:rPr>
          <w:i/>
        </w:rPr>
      </w:pPr>
    </w:p>
    <w:p w14:paraId="660A6246" w14:textId="7651904A" w:rsidR="00A965DB" w:rsidRDefault="00A965DB" w:rsidP="00A965DB">
      <w:pPr>
        <w:jc w:val="both"/>
        <w:rPr>
          <w:iCs/>
        </w:rPr>
      </w:pPr>
      <w:r w:rsidRPr="00A965DB">
        <w:rPr>
          <w:iCs/>
        </w:rPr>
        <w:t xml:space="preserve">It </w:t>
      </w:r>
      <w:r>
        <w:rPr>
          <w:iCs/>
        </w:rPr>
        <w:t xml:space="preserve">is working assumption </w:t>
      </w:r>
      <w:r>
        <w:rPr>
          <w:iCs/>
        </w:rPr>
        <w:fldChar w:fldCharType="begin"/>
      </w:r>
      <w:r>
        <w:rPr>
          <w:iCs/>
        </w:rPr>
        <w:instrText xml:space="preserve"> REF _Ref34658605 \r \h </w:instrText>
      </w:r>
      <w:r>
        <w:rPr>
          <w:iCs/>
        </w:rPr>
      </w:r>
      <w:r>
        <w:rPr>
          <w:iCs/>
        </w:rPr>
        <w:fldChar w:fldCharType="separate"/>
      </w:r>
      <w:r w:rsidR="009E2E65">
        <w:rPr>
          <w:iCs/>
        </w:rPr>
        <w:t>[3]</w:t>
      </w:r>
      <w:r>
        <w:rPr>
          <w:iCs/>
        </w:rPr>
        <w:fldChar w:fldCharType="end"/>
      </w:r>
      <w:r>
        <w:rPr>
          <w:iCs/>
        </w:rPr>
        <w:t xml:space="preserve"> that a resource pool is allowed to be configured with all PRBs in a sidelink BWP. This leads to the possibility of the number of PRBs of </w:t>
      </w:r>
      <w:r w:rsidR="00C61990">
        <w:rPr>
          <w:iCs/>
        </w:rPr>
        <w:t xml:space="preserve">a </w:t>
      </w:r>
      <w:r>
        <w:rPr>
          <w:iCs/>
        </w:rPr>
        <w:t>resource pool not being a multiple of sub-channel size. It is open how to deal with the remain</w:t>
      </w:r>
      <w:r w:rsidR="00490D41">
        <w:rPr>
          <w:iCs/>
        </w:rPr>
        <w:t>der</w:t>
      </w:r>
      <w:r>
        <w:rPr>
          <w:iCs/>
        </w:rPr>
        <w:t xml:space="preserve"> PRBs under this condition. In our view, all the sub-channels of a resource pool should have the same size. This</w:t>
      </w:r>
      <w:r w:rsidR="006A06AD">
        <w:rPr>
          <w:iCs/>
        </w:rPr>
        <w:t xml:space="preserve"> does not impact </w:t>
      </w:r>
      <w:r>
        <w:rPr>
          <w:iCs/>
        </w:rPr>
        <w:t>the</w:t>
      </w:r>
      <w:r w:rsidR="006A06AD">
        <w:rPr>
          <w:iCs/>
        </w:rPr>
        <w:t xml:space="preserve"> </w:t>
      </w:r>
      <w:r w:rsidR="006A06AD">
        <w:rPr>
          <w:iCs/>
        </w:rPr>
        <w:lastRenderedPageBreak/>
        <w:t xml:space="preserve">existing RRC parameters and </w:t>
      </w:r>
      <w:r w:rsidR="001F44DF">
        <w:rPr>
          <w:iCs/>
        </w:rPr>
        <w:t xml:space="preserve">existing </w:t>
      </w:r>
      <w:r w:rsidR="006A06AD">
        <w:rPr>
          <w:iCs/>
        </w:rPr>
        <w:t>system designs.</w:t>
      </w:r>
      <w:r w:rsidR="001F44DF">
        <w:rPr>
          <w:iCs/>
        </w:rPr>
        <w:t xml:space="preserve"> If some sub-channels have a larger number of PRBs, then the sidelink measurement (e.g., sidelink RSRP and sidelink RSSI) needs to be adjusted accordingly, which complicates UE implementation. </w:t>
      </w:r>
    </w:p>
    <w:p w14:paraId="7E7C5E53" w14:textId="77777777" w:rsidR="00A965DB" w:rsidRPr="00A965DB" w:rsidRDefault="00A965DB" w:rsidP="00A965DB">
      <w:pPr>
        <w:jc w:val="both"/>
        <w:rPr>
          <w:iCs/>
        </w:rPr>
      </w:pPr>
    </w:p>
    <w:p w14:paraId="271A45E3" w14:textId="71C80E7F" w:rsidR="00A965DB" w:rsidRDefault="00A965DB" w:rsidP="00A965DB">
      <w:pPr>
        <w:jc w:val="both"/>
        <w:rPr>
          <w:i/>
        </w:rPr>
      </w:pPr>
      <w:r>
        <w:rPr>
          <w:b/>
          <w:i/>
          <w:u w:val="single"/>
        </w:rPr>
        <w:t>P</w:t>
      </w:r>
      <w:r w:rsidRPr="001C381A">
        <w:rPr>
          <w:b/>
          <w:i/>
          <w:u w:val="single"/>
        </w:rPr>
        <w:t xml:space="preserve">roposal </w:t>
      </w:r>
      <w:r w:rsidR="000654FB">
        <w:rPr>
          <w:b/>
          <w:i/>
          <w:u w:val="single"/>
        </w:rPr>
        <w:t>3</w:t>
      </w:r>
      <w:r w:rsidRPr="001C381A">
        <w:rPr>
          <w:b/>
          <w:i/>
          <w:u w:val="single"/>
        </w:rPr>
        <w:t>:</w:t>
      </w:r>
      <w:r w:rsidRPr="001C381A">
        <w:rPr>
          <w:i/>
        </w:rPr>
        <w:t xml:space="preserve"> </w:t>
      </w:r>
      <w:r>
        <w:rPr>
          <w:i/>
        </w:rPr>
        <w:t>If the configured PRBs for resource pool is not a multiple of sub-channel size, then the rem</w:t>
      </w:r>
      <w:r>
        <w:rPr>
          <w:rFonts w:hint="eastAsia"/>
          <w:i/>
        </w:rPr>
        <w:t>ai</w:t>
      </w:r>
      <w:r>
        <w:rPr>
          <w:i/>
        </w:rPr>
        <w:t xml:space="preserve">nder PRBs with </w:t>
      </w:r>
      <w:r w:rsidR="006A06AD">
        <w:rPr>
          <w:i/>
        </w:rPr>
        <w:t>the high</w:t>
      </w:r>
      <w:r>
        <w:rPr>
          <w:i/>
        </w:rPr>
        <w:t>est indices are not used.</w:t>
      </w:r>
    </w:p>
    <w:p w14:paraId="17E75CBD" w14:textId="77777777" w:rsidR="00A965DB" w:rsidRPr="00A965DB" w:rsidRDefault="00A965DB" w:rsidP="00A965DB">
      <w:pPr>
        <w:jc w:val="both"/>
        <w:rPr>
          <w:i/>
        </w:rPr>
      </w:pPr>
    </w:p>
    <w:p w14:paraId="771B203B" w14:textId="72670A80" w:rsidR="00C90EE9" w:rsidRDefault="00C90EE9" w:rsidP="00EA5A5B">
      <w:pPr>
        <w:pStyle w:val="Heading2"/>
      </w:pPr>
      <w:r>
        <w:t>Initialization of Scrambling Sequences</w:t>
      </w:r>
    </w:p>
    <w:p w14:paraId="1B23989A" w14:textId="568C12F6" w:rsidR="00A73B25" w:rsidRDefault="00A73B25" w:rsidP="00C90EE9">
      <w:pPr>
        <w:jc w:val="both"/>
        <w:rPr>
          <w:rFonts w:eastAsia="SimSun"/>
          <w:iCs/>
        </w:rPr>
      </w:pPr>
      <w:r>
        <w:rPr>
          <w:rFonts w:eastAsia="SimSun"/>
          <w:iCs/>
        </w:rPr>
        <w:t xml:space="preserve">In LTE V2X, the scrambling sequence for PSCCH is a gold sequence with initialization value being a constant 510. This constant value ensures every receiver UE could decode PSCCH. This is because LTE V2X supports sidelink broadcast and the resource reservation information in PSCCH needs to be decoded by all Mode 4 UEs for their resource allocation operations. </w:t>
      </w:r>
    </w:p>
    <w:p w14:paraId="467FD082" w14:textId="16E0200A" w:rsidR="00A73B25" w:rsidRDefault="00A73B25" w:rsidP="00C90EE9">
      <w:pPr>
        <w:jc w:val="both"/>
        <w:rPr>
          <w:rFonts w:eastAsia="SimSun"/>
          <w:iCs/>
        </w:rPr>
      </w:pPr>
    </w:p>
    <w:p w14:paraId="3BC3CB63" w14:textId="32194C1D" w:rsidR="00A73B25" w:rsidRDefault="00A73B25" w:rsidP="00C90EE9">
      <w:pPr>
        <w:jc w:val="both"/>
        <w:rPr>
          <w:rFonts w:eastAsia="SimSun"/>
          <w:iCs/>
        </w:rPr>
      </w:pPr>
      <w:r>
        <w:rPr>
          <w:rFonts w:eastAsia="SimSun"/>
          <w:iCs/>
        </w:rPr>
        <w:t xml:space="preserve">In NR V2X, the resource reservation information is contained in first stage SCI, which is carried on PSCCH. Since this information is needed for all Mode 2 UEs’ resource allocation operations, PSCCH needs to be decodable </w:t>
      </w:r>
      <w:r w:rsidR="003C2425">
        <w:rPr>
          <w:rFonts w:eastAsia="SimSun"/>
          <w:iCs/>
        </w:rPr>
        <w:t>by</w:t>
      </w:r>
      <w:r>
        <w:rPr>
          <w:rFonts w:eastAsia="SimSun"/>
          <w:iCs/>
        </w:rPr>
        <w:t xml:space="preserve"> all UEs. Hence, like in LTE V2X, a constant initialization value should be used for the PSCCH scrambling sequence generator.</w:t>
      </w:r>
    </w:p>
    <w:p w14:paraId="327E8FFD" w14:textId="77777777" w:rsidR="00A73B25" w:rsidRPr="005D2EFF" w:rsidRDefault="00A73B25" w:rsidP="00C90EE9">
      <w:pPr>
        <w:jc w:val="both"/>
        <w:rPr>
          <w:rFonts w:eastAsia="SimSun"/>
          <w:iCs/>
        </w:rPr>
      </w:pPr>
    </w:p>
    <w:p w14:paraId="59526669" w14:textId="44AA4584" w:rsidR="00C90EE9" w:rsidRDefault="00C90EE9" w:rsidP="00C90EE9">
      <w:pPr>
        <w:jc w:val="both"/>
        <w:rPr>
          <w:rFonts w:eastAsia="SimSun"/>
          <w:bCs/>
          <w:iCs/>
          <w:szCs w:val="22"/>
        </w:rPr>
      </w:pPr>
      <w:r w:rsidRPr="001E1DE4">
        <w:rPr>
          <w:rFonts w:eastAsia="SimSun"/>
          <w:b/>
          <w:bCs/>
          <w:i/>
          <w:u w:val="single"/>
        </w:rPr>
        <w:t xml:space="preserve">Proposal </w:t>
      </w:r>
      <w:r w:rsidR="000654FB">
        <w:rPr>
          <w:rFonts w:eastAsia="SimSun"/>
          <w:b/>
          <w:bCs/>
          <w:i/>
          <w:u w:val="single"/>
        </w:rPr>
        <w:t>4</w:t>
      </w:r>
      <w:r w:rsidRPr="001E1DE4">
        <w:rPr>
          <w:rFonts w:eastAsia="SimSun"/>
          <w:bCs/>
          <w:i/>
        </w:rPr>
        <w:t xml:space="preserve">: </w:t>
      </w:r>
      <w:r>
        <w:rPr>
          <w:rFonts w:eastAsia="SimSun"/>
          <w:bCs/>
          <w:i/>
          <w:szCs w:val="22"/>
        </w:rPr>
        <w:t xml:space="preserve">The scrambling sequence for </w:t>
      </w:r>
      <w:r w:rsidR="00A73B25">
        <w:rPr>
          <w:rFonts w:eastAsia="SimSun"/>
          <w:bCs/>
          <w:i/>
          <w:szCs w:val="22"/>
        </w:rPr>
        <w:t xml:space="preserve">first stage </w:t>
      </w:r>
      <w:r>
        <w:rPr>
          <w:rFonts w:eastAsia="SimSun"/>
          <w:bCs/>
          <w:i/>
          <w:szCs w:val="22"/>
        </w:rPr>
        <w:t>SCI is a gold sequence with a constant initialization value.</w:t>
      </w:r>
    </w:p>
    <w:p w14:paraId="45425A3E" w14:textId="77777777" w:rsidR="00C90EE9" w:rsidRDefault="00C90EE9" w:rsidP="00C90EE9">
      <w:pPr>
        <w:jc w:val="both"/>
        <w:rPr>
          <w:rFonts w:eastAsia="SimSun"/>
          <w:bCs/>
          <w:iCs/>
          <w:szCs w:val="22"/>
        </w:rPr>
      </w:pPr>
    </w:p>
    <w:p w14:paraId="310840C9" w14:textId="34D873D1" w:rsidR="00C90EE9" w:rsidRDefault="00C90EE9" w:rsidP="00C90EE9">
      <w:pPr>
        <w:jc w:val="both"/>
        <w:rPr>
          <w:rFonts w:eastAsia="SimSun"/>
          <w:bCs/>
          <w:iCs/>
          <w:szCs w:val="22"/>
        </w:rPr>
      </w:pPr>
      <w:r>
        <w:rPr>
          <w:rFonts w:eastAsia="SimSun"/>
          <w:bCs/>
          <w:iCs/>
          <w:szCs w:val="22"/>
        </w:rPr>
        <w:t xml:space="preserve">It was agreed </w:t>
      </w:r>
      <w:r w:rsidR="003C2425">
        <w:rPr>
          <w:rFonts w:eastAsia="SimSun"/>
          <w:bCs/>
          <w:iCs/>
          <w:szCs w:val="22"/>
        </w:rPr>
        <w:fldChar w:fldCharType="begin"/>
      </w:r>
      <w:r w:rsidR="003C2425">
        <w:rPr>
          <w:rFonts w:eastAsia="SimSun"/>
          <w:bCs/>
          <w:iCs/>
          <w:szCs w:val="22"/>
        </w:rPr>
        <w:instrText xml:space="preserve"> REF _Ref31108368 \r \h </w:instrText>
      </w:r>
      <w:r w:rsidR="003C2425">
        <w:rPr>
          <w:rFonts w:eastAsia="SimSun"/>
          <w:bCs/>
          <w:iCs/>
          <w:szCs w:val="22"/>
        </w:rPr>
      </w:r>
      <w:r w:rsidR="003C2425">
        <w:rPr>
          <w:rFonts w:eastAsia="SimSun"/>
          <w:bCs/>
          <w:iCs/>
          <w:szCs w:val="22"/>
        </w:rPr>
        <w:fldChar w:fldCharType="separate"/>
      </w:r>
      <w:r w:rsidR="009E2E65">
        <w:rPr>
          <w:rFonts w:eastAsia="SimSun"/>
          <w:bCs/>
          <w:iCs/>
          <w:szCs w:val="22"/>
        </w:rPr>
        <w:t>[5]</w:t>
      </w:r>
      <w:r w:rsidR="003C2425">
        <w:rPr>
          <w:rFonts w:eastAsia="SimSun"/>
          <w:bCs/>
          <w:iCs/>
          <w:szCs w:val="22"/>
        </w:rPr>
        <w:fldChar w:fldCharType="end"/>
      </w:r>
      <w:r>
        <w:rPr>
          <w:rFonts w:eastAsia="SimSun"/>
          <w:bCs/>
          <w:iCs/>
          <w:szCs w:val="22"/>
        </w:rPr>
        <w:t xml:space="preserve"> that separate scrambling is applied on </w:t>
      </w:r>
      <w:r w:rsidR="003C2425">
        <w:rPr>
          <w:rFonts w:eastAsia="SimSun"/>
          <w:bCs/>
          <w:iCs/>
          <w:szCs w:val="22"/>
        </w:rPr>
        <w:t xml:space="preserve">second stage </w:t>
      </w:r>
      <w:r>
        <w:rPr>
          <w:rFonts w:eastAsia="SimSun"/>
          <w:bCs/>
          <w:iCs/>
          <w:szCs w:val="22"/>
        </w:rPr>
        <w:t>SCI and PSSCH. Similar to the scrambling sequence of PSCCH, the scrambling sequence of</w:t>
      </w:r>
      <w:r w:rsidR="003C2425">
        <w:rPr>
          <w:rFonts w:eastAsia="SimSun"/>
          <w:bCs/>
          <w:iCs/>
          <w:szCs w:val="22"/>
        </w:rPr>
        <w:t xml:space="preserve"> second stage</w:t>
      </w:r>
      <w:r>
        <w:rPr>
          <w:rFonts w:eastAsia="SimSun"/>
          <w:bCs/>
          <w:iCs/>
          <w:szCs w:val="22"/>
        </w:rPr>
        <w:t xml:space="preserve"> SCI </w:t>
      </w:r>
      <w:r w:rsidR="003C2425">
        <w:rPr>
          <w:rFonts w:eastAsia="SimSun"/>
          <w:bCs/>
          <w:iCs/>
          <w:szCs w:val="22"/>
        </w:rPr>
        <w:t>is</w:t>
      </w:r>
      <w:r>
        <w:rPr>
          <w:rFonts w:eastAsia="SimSun"/>
          <w:bCs/>
          <w:iCs/>
          <w:szCs w:val="22"/>
        </w:rPr>
        <w:t xml:space="preserve"> a gold sequence. The initialization value of the gold sequence is based on PSCCH CRC. This design facilitates early termination of </w:t>
      </w:r>
      <w:r w:rsidR="003C2425">
        <w:rPr>
          <w:rFonts w:eastAsia="SimSun"/>
          <w:bCs/>
          <w:iCs/>
          <w:szCs w:val="22"/>
        </w:rPr>
        <w:t xml:space="preserve">second stage </w:t>
      </w:r>
      <w:r>
        <w:rPr>
          <w:rFonts w:eastAsia="SimSun"/>
          <w:bCs/>
          <w:iCs/>
          <w:szCs w:val="22"/>
        </w:rPr>
        <w:t xml:space="preserve">SCI polar decoding in case of </w:t>
      </w:r>
      <w:proofErr w:type="gramStart"/>
      <w:r>
        <w:rPr>
          <w:rFonts w:eastAsia="SimSun"/>
          <w:bCs/>
          <w:iCs/>
          <w:szCs w:val="22"/>
        </w:rPr>
        <w:t>mis</w:t>
      </w:r>
      <w:r w:rsidR="000D3AF0">
        <w:rPr>
          <w:rFonts w:eastAsia="SimSun"/>
          <w:bCs/>
          <w:iCs/>
          <w:szCs w:val="22"/>
        </w:rPr>
        <w:t>-</w:t>
      </w:r>
      <w:r>
        <w:rPr>
          <w:rFonts w:eastAsia="SimSun"/>
          <w:bCs/>
          <w:iCs/>
          <w:szCs w:val="22"/>
        </w:rPr>
        <w:t>detection</w:t>
      </w:r>
      <w:proofErr w:type="gramEnd"/>
      <w:r>
        <w:rPr>
          <w:rFonts w:eastAsia="SimSun"/>
          <w:bCs/>
          <w:iCs/>
          <w:szCs w:val="22"/>
        </w:rPr>
        <w:t xml:space="preserve"> of PSCCH. </w:t>
      </w:r>
      <w:r w:rsidR="00144DF9">
        <w:rPr>
          <w:rFonts w:eastAsia="SimSun"/>
          <w:bCs/>
          <w:iCs/>
          <w:szCs w:val="22"/>
        </w:rPr>
        <w:t>Specifically</w:t>
      </w:r>
      <w:r w:rsidR="007D40BD">
        <w:rPr>
          <w:rFonts w:eastAsia="SimSun"/>
          <w:bCs/>
          <w:iCs/>
          <w:szCs w:val="22"/>
        </w:rPr>
        <w:t xml:space="preserve">, the initialization value </w:t>
      </w:r>
      <w:r w:rsidR="00144DF9">
        <w:rPr>
          <w:rFonts w:eastAsia="SimSun"/>
          <w:bCs/>
          <w:iCs/>
          <w:szCs w:val="22"/>
        </w:rPr>
        <w:t>is</w:t>
      </w:r>
      <w:r w:rsidR="007D40BD">
        <w:rPr>
          <w:rFonts w:eastAsia="SimSun"/>
          <w:bCs/>
          <w:iCs/>
          <w:szCs w:val="22"/>
        </w:rPr>
        <w:t xml:space="preserve"> set as </w:t>
      </w:r>
      <m:oMath>
        <m:sSub>
          <m:sSubPr>
            <m:ctrlPr>
              <w:rPr>
                <w:rFonts w:ascii="Cambria Math" w:eastAsia="SimSun" w:hAnsi="Cambria Math"/>
                <w:bCs/>
                <w:i/>
                <w:iCs/>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iCs/>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Pr>
          <w:rFonts w:eastAsia="SimSun"/>
          <w:bCs/>
          <w:iCs/>
          <w:szCs w:val="22"/>
        </w:rPr>
        <w:t xml:space="preserve">, where </w:t>
      </w:r>
      <m:oMath>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Pr>
          <w:rFonts w:eastAsia="SimSun"/>
          <w:bCs/>
          <w:iCs/>
          <w:szCs w:val="22"/>
        </w:rPr>
        <w:t xml:space="preserve"> is a constant with value equal to PSCCH scrambling sequence initialization value,</w:t>
      </w:r>
      <w:r w:rsidR="00144DF9">
        <w:rPr>
          <w:rFonts w:eastAsia="SimSun"/>
          <w:bCs/>
          <w:iCs/>
          <w:szCs w:val="22"/>
        </w:rPr>
        <w:t xml:space="preserve"> and</w:t>
      </w:r>
      <w:r w:rsidR="007D40BD">
        <w:rPr>
          <w:rFonts w:eastAsia="SimSun"/>
          <w:bCs/>
          <w:iCs/>
          <w:szCs w:val="22"/>
        </w:rPr>
        <w:t xml:space="preserve"> </w:t>
      </w:r>
      <m:oMath>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RNTI</m:t>
            </m:r>
          </m:sub>
        </m:sSub>
      </m:oMath>
      <w:r w:rsidR="007D40BD">
        <w:rPr>
          <w:rFonts w:eastAsia="SimSun"/>
          <w:bCs/>
          <w:iCs/>
          <w:szCs w:val="22"/>
        </w:rPr>
        <w:t xml:space="preserve"> is the 16 LSB of PSCCH CRC. </w:t>
      </w:r>
    </w:p>
    <w:p w14:paraId="24AA3530" w14:textId="77777777" w:rsidR="00C90EE9" w:rsidRDefault="00C90EE9" w:rsidP="00C90EE9">
      <w:pPr>
        <w:jc w:val="both"/>
        <w:rPr>
          <w:rFonts w:eastAsia="SimSun"/>
          <w:bCs/>
          <w:iCs/>
          <w:szCs w:val="22"/>
        </w:rPr>
      </w:pPr>
    </w:p>
    <w:p w14:paraId="44E66164" w14:textId="7E12E7DA" w:rsidR="007D40BD" w:rsidRDefault="00C90EE9" w:rsidP="00C90EE9">
      <w:pPr>
        <w:jc w:val="both"/>
        <w:rPr>
          <w:rFonts w:eastAsia="SimSun"/>
          <w:bCs/>
          <w:i/>
          <w:szCs w:val="22"/>
        </w:rPr>
      </w:pPr>
      <w:r w:rsidRPr="001E1DE4">
        <w:rPr>
          <w:rFonts w:eastAsia="SimSun"/>
          <w:b/>
          <w:bCs/>
          <w:i/>
          <w:u w:val="single"/>
        </w:rPr>
        <w:t xml:space="preserve">Proposal </w:t>
      </w:r>
      <w:r w:rsidR="000654FB">
        <w:rPr>
          <w:rFonts w:eastAsia="SimSun"/>
          <w:b/>
          <w:bCs/>
          <w:i/>
          <w:u w:val="single"/>
        </w:rPr>
        <w:t>5</w:t>
      </w:r>
      <w:r w:rsidRPr="001E1DE4">
        <w:rPr>
          <w:rFonts w:eastAsia="SimSun"/>
          <w:bCs/>
          <w:i/>
        </w:rPr>
        <w:t xml:space="preserve">: </w:t>
      </w:r>
      <w:r w:rsidRPr="007D40BD">
        <w:rPr>
          <w:rFonts w:eastAsia="SimSun"/>
          <w:bCs/>
          <w:i/>
          <w:szCs w:val="22"/>
        </w:rPr>
        <w:t>The scrambling sequence for</w:t>
      </w:r>
      <w:r w:rsidR="003C2425">
        <w:rPr>
          <w:rFonts w:eastAsia="SimSun"/>
          <w:bCs/>
          <w:i/>
          <w:szCs w:val="22"/>
        </w:rPr>
        <w:t xml:space="preserve"> second stage</w:t>
      </w:r>
      <w:r w:rsidRPr="007D40BD">
        <w:rPr>
          <w:rFonts w:eastAsia="SimSun"/>
          <w:bCs/>
          <w:i/>
          <w:szCs w:val="22"/>
        </w:rPr>
        <w:t xml:space="preserve"> SCI is a gold sequence with initialization value depending on PSCCH CRC</w:t>
      </w:r>
      <w:r w:rsidR="00144DF9">
        <w:rPr>
          <w:rFonts w:eastAsia="SimSun"/>
          <w:bCs/>
          <w:i/>
          <w:szCs w:val="22"/>
        </w:rPr>
        <w:t>. Specifically,</w:t>
      </w:r>
      <w:r w:rsidR="007D40BD" w:rsidRPr="007D40BD">
        <w:rPr>
          <w:rFonts w:eastAsia="SimSun"/>
          <w:bCs/>
          <w:i/>
          <w:szCs w:val="22"/>
        </w:rPr>
        <w:t xml:space="preserve"> </w:t>
      </w:r>
      <m:oMath>
        <m:sSub>
          <m:sSubPr>
            <m:ctrlPr>
              <w:rPr>
                <w:rFonts w:ascii="Cambria Math" w:eastAsia="SimSun" w:hAnsi="Cambria Math"/>
                <w:bCs/>
                <w:i/>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sidRPr="007D40BD">
        <w:rPr>
          <w:rFonts w:eastAsia="SimSun"/>
          <w:bCs/>
          <w:i/>
          <w:szCs w:val="22"/>
        </w:rPr>
        <w:t xml:space="preserve">, where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sidRPr="007D40BD">
        <w:rPr>
          <w:rFonts w:eastAsia="SimSun"/>
          <w:bCs/>
          <w:i/>
          <w:szCs w:val="22"/>
        </w:rPr>
        <w:t xml:space="preserve"> is a constant with value equal to PSCCH scrambling sequence initialization value,</w:t>
      </w:r>
      <w:r w:rsidR="00144DF9">
        <w:rPr>
          <w:rFonts w:eastAsia="SimSun"/>
          <w:bCs/>
          <w:i/>
          <w:szCs w:val="22"/>
        </w:rPr>
        <w:t xml:space="preserve"> and</w:t>
      </w:r>
      <w:r w:rsidR="007D40BD" w:rsidRPr="007D40BD">
        <w:rPr>
          <w:rFonts w:eastAsia="SimSun"/>
          <w:bCs/>
          <w:i/>
          <w:szCs w:val="22"/>
        </w:rPr>
        <w:t xml:space="preserv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oMath>
      <w:r w:rsidR="007D40BD" w:rsidRPr="007D40BD">
        <w:rPr>
          <w:rFonts w:eastAsia="SimSun"/>
          <w:bCs/>
          <w:i/>
          <w:szCs w:val="22"/>
        </w:rPr>
        <w:t xml:space="preserve"> is the 16 LSB of PSCCH CRC.</w:t>
      </w:r>
    </w:p>
    <w:p w14:paraId="7DF0B1AB" w14:textId="77777777" w:rsidR="00C90EE9" w:rsidRDefault="00C90EE9" w:rsidP="00C90EE9">
      <w:pPr>
        <w:jc w:val="both"/>
        <w:rPr>
          <w:rFonts w:eastAsia="SimSun"/>
          <w:bCs/>
          <w:iCs/>
          <w:szCs w:val="22"/>
        </w:rPr>
      </w:pPr>
    </w:p>
    <w:p w14:paraId="15A4DDF7" w14:textId="1D1E4128" w:rsidR="00C90EE9" w:rsidRDefault="00C90EE9" w:rsidP="00C90EE9">
      <w:pPr>
        <w:jc w:val="both"/>
        <w:rPr>
          <w:rFonts w:eastAsia="SimSun"/>
          <w:bCs/>
          <w:iCs/>
          <w:szCs w:val="22"/>
        </w:rPr>
      </w:pPr>
      <w:r>
        <w:rPr>
          <w:rFonts w:eastAsia="SimSun"/>
          <w:bCs/>
          <w:iCs/>
          <w:szCs w:val="22"/>
        </w:rPr>
        <w:t xml:space="preserve">Furthermore, the scrambling sequence of PSSCH </w:t>
      </w:r>
      <w:r w:rsidR="007D40BD">
        <w:rPr>
          <w:rFonts w:eastAsia="SimSun"/>
          <w:bCs/>
          <w:iCs/>
          <w:szCs w:val="22"/>
        </w:rPr>
        <w:t xml:space="preserve">data is also </w:t>
      </w:r>
      <w:r>
        <w:rPr>
          <w:rFonts w:eastAsia="SimSun"/>
          <w:bCs/>
          <w:iCs/>
          <w:szCs w:val="22"/>
        </w:rPr>
        <w:t xml:space="preserve">a gold sequence with initialization value </w:t>
      </w:r>
      <w:r w:rsidR="007D40BD">
        <w:rPr>
          <w:rFonts w:eastAsia="SimSun"/>
          <w:bCs/>
          <w:iCs/>
          <w:szCs w:val="22"/>
        </w:rPr>
        <w:t>depending on both</w:t>
      </w:r>
      <w:r>
        <w:rPr>
          <w:rFonts w:eastAsia="SimSun"/>
          <w:bCs/>
          <w:iCs/>
          <w:szCs w:val="22"/>
        </w:rPr>
        <w:t xml:space="preserve"> </w:t>
      </w:r>
      <w:r w:rsidR="007D40BD">
        <w:rPr>
          <w:rFonts w:eastAsia="SimSun"/>
          <w:bCs/>
          <w:iCs/>
          <w:szCs w:val="22"/>
        </w:rPr>
        <w:t xml:space="preserve">first stage </w:t>
      </w:r>
      <w:r>
        <w:rPr>
          <w:rFonts w:eastAsia="SimSun"/>
          <w:bCs/>
          <w:iCs/>
          <w:szCs w:val="22"/>
        </w:rPr>
        <w:t>SCI CRC</w:t>
      </w:r>
      <w:r w:rsidR="007D40BD">
        <w:rPr>
          <w:rFonts w:eastAsia="SimSun"/>
          <w:bCs/>
          <w:iCs/>
          <w:szCs w:val="22"/>
        </w:rPr>
        <w:t xml:space="preserve"> and second stage SCI CRC. Note that part of PSSCH data decoding information is contained in second stage SCI (e.g., source ID, destination ID, HARQ process number, </w:t>
      </w:r>
      <w:proofErr w:type="spellStart"/>
      <w:r w:rsidR="007D40BD">
        <w:rPr>
          <w:rFonts w:eastAsia="SimSun"/>
          <w:bCs/>
          <w:iCs/>
          <w:szCs w:val="22"/>
        </w:rPr>
        <w:t>etc</w:t>
      </w:r>
      <w:proofErr w:type="spellEnd"/>
      <w:r w:rsidR="007D40BD">
        <w:rPr>
          <w:rFonts w:eastAsia="SimSun"/>
          <w:bCs/>
          <w:iCs/>
          <w:szCs w:val="22"/>
        </w:rPr>
        <w:t xml:space="preserve">). The misdetection of second stage SCI will lead to unsuccessful decoding of PSSCH data. Furthermore, due to the limited randomness contained in second stage SCI (and hence, its CRC), part of first stage SCI CRC can also be used in the initialization value for PSSCH data scrambling sequence. </w:t>
      </w:r>
      <w:r w:rsidR="00144DF9">
        <w:rPr>
          <w:rFonts w:eastAsia="SimSun"/>
          <w:bCs/>
          <w:iCs/>
          <w:szCs w:val="22"/>
        </w:rPr>
        <w:t>Specifically</w:t>
      </w:r>
      <w:r w:rsidR="007D40BD">
        <w:rPr>
          <w:rFonts w:eastAsia="SimSun"/>
          <w:bCs/>
          <w:iCs/>
          <w:szCs w:val="22"/>
        </w:rPr>
        <w:t xml:space="preserve">, the initialization value </w:t>
      </w:r>
      <w:r w:rsidR="00144DF9">
        <w:rPr>
          <w:rFonts w:eastAsia="SimSun"/>
          <w:bCs/>
          <w:iCs/>
          <w:szCs w:val="22"/>
        </w:rPr>
        <w:t>is</w:t>
      </w:r>
      <w:r w:rsidR="007D40BD">
        <w:rPr>
          <w:rFonts w:eastAsia="SimSun"/>
          <w:bCs/>
          <w:iCs/>
          <w:szCs w:val="22"/>
        </w:rPr>
        <w:t xml:space="preserve"> set as </w:t>
      </w:r>
      <m:oMath>
        <m:sSub>
          <m:sSubPr>
            <m:ctrlPr>
              <w:rPr>
                <w:rFonts w:ascii="Cambria Math" w:eastAsia="SimSun" w:hAnsi="Cambria Math"/>
                <w:bCs/>
                <w:i/>
                <w:iCs/>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iCs/>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Pr>
          <w:rFonts w:eastAsia="SimSun"/>
          <w:bCs/>
          <w:iCs/>
          <w:szCs w:val="22"/>
        </w:rPr>
        <w:t xml:space="preserve">, where </w:t>
      </w:r>
      <m:oMath>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Pr>
          <w:rFonts w:eastAsia="SimSun"/>
          <w:bCs/>
          <w:iCs/>
          <w:szCs w:val="22"/>
        </w:rPr>
        <w:t xml:space="preserve"> is a constant with value equal to PSCCH scrambling sequence initialization value, </w:t>
      </w:r>
      <m:oMath>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RNTI</m:t>
            </m:r>
          </m:sub>
        </m:sSub>
      </m:oMath>
      <w:r w:rsidR="007D40BD">
        <w:rPr>
          <w:rFonts w:eastAsia="SimSun"/>
          <w:bCs/>
          <w:iCs/>
          <w:szCs w:val="22"/>
        </w:rPr>
        <w:t xml:space="preserve"> is the XOR of the 16 </w:t>
      </w:r>
      <w:r w:rsidR="00144DF9">
        <w:rPr>
          <w:rFonts w:eastAsia="SimSun"/>
          <w:bCs/>
          <w:iCs/>
          <w:szCs w:val="22"/>
        </w:rPr>
        <w:t>M</w:t>
      </w:r>
      <w:r w:rsidR="007D40BD">
        <w:rPr>
          <w:rFonts w:eastAsia="SimSun"/>
          <w:bCs/>
          <w:iCs/>
          <w:szCs w:val="22"/>
        </w:rPr>
        <w:t xml:space="preserve">SB of first stage SCI CRC and 16 </w:t>
      </w:r>
      <w:r w:rsidR="00144DF9">
        <w:rPr>
          <w:rFonts w:eastAsia="SimSun"/>
          <w:bCs/>
          <w:iCs/>
          <w:szCs w:val="22"/>
        </w:rPr>
        <w:t>L</w:t>
      </w:r>
      <w:r w:rsidR="007D40BD">
        <w:rPr>
          <w:rFonts w:eastAsia="SimSun"/>
          <w:bCs/>
          <w:iCs/>
          <w:szCs w:val="22"/>
        </w:rPr>
        <w:t xml:space="preserve">SB of second stage SCI CRC. </w:t>
      </w:r>
    </w:p>
    <w:p w14:paraId="70E40539" w14:textId="77777777" w:rsidR="00C90EE9" w:rsidRDefault="00C90EE9" w:rsidP="00C90EE9">
      <w:pPr>
        <w:jc w:val="both"/>
        <w:rPr>
          <w:rFonts w:eastAsia="SimSun"/>
          <w:bCs/>
          <w:iCs/>
          <w:szCs w:val="22"/>
        </w:rPr>
      </w:pPr>
    </w:p>
    <w:p w14:paraId="220CF773" w14:textId="0D4C55F3" w:rsidR="00C90EE9" w:rsidRDefault="00C90EE9" w:rsidP="00C90EE9">
      <w:pPr>
        <w:jc w:val="both"/>
        <w:rPr>
          <w:rFonts w:eastAsia="SimSun"/>
          <w:bCs/>
          <w:i/>
          <w:szCs w:val="22"/>
        </w:rPr>
      </w:pPr>
      <w:r w:rsidRPr="001C381A">
        <w:rPr>
          <w:b/>
          <w:i/>
          <w:u w:val="single"/>
        </w:rPr>
        <w:t xml:space="preserve">Proposal </w:t>
      </w:r>
      <w:r w:rsidR="000654FB">
        <w:rPr>
          <w:b/>
          <w:i/>
          <w:u w:val="single"/>
        </w:rPr>
        <w:t>6</w:t>
      </w:r>
      <w:r w:rsidRPr="001C381A">
        <w:rPr>
          <w:b/>
          <w:i/>
          <w:u w:val="single"/>
        </w:rPr>
        <w:t>:</w:t>
      </w:r>
      <w:r w:rsidRPr="001C381A">
        <w:rPr>
          <w:i/>
        </w:rPr>
        <w:t xml:space="preserve"> </w:t>
      </w:r>
      <w:r w:rsidRPr="007D40BD">
        <w:rPr>
          <w:rFonts w:eastAsia="SimSun"/>
          <w:bCs/>
          <w:i/>
          <w:szCs w:val="22"/>
        </w:rPr>
        <w:t xml:space="preserve">The scrambling sequence for data on PSSCH is a gold sequence with initialization value depending on </w:t>
      </w:r>
      <w:r w:rsidR="007D40BD" w:rsidRPr="007D40BD">
        <w:rPr>
          <w:rFonts w:eastAsia="SimSun"/>
          <w:bCs/>
          <w:i/>
          <w:szCs w:val="22"/>
        </w:rPr>
        <w:t xml:space="preserve">both first stage </w:t>
      </w:r>
      <w:r w:rsidRPr="007D40BD">
        <w:rPr>
          <w:rFonts w:eastAsia="SimSun"/>
          <w:bCs/>
          <w:i/>
          <w:szCs w:val="22"/>
        </w:rPr>
        <w:t>SCI CRC</w:t>
      </w:r>
      <w:r w:rsidR="007D40BD" w:rsidRPr="007D40BD">
        <w:rPr>
          <w:rFonts w:eastAsia="SimSun"/>
          <w:bCs/>
          <w:i/>
          <w:szCs w:val="22"/>
        </w:rPr>
        <w:t xml:space="preserve"> and second stage SCI CRC</w:t>
      </w:r>
      <w:r w:rsidR="00144DF9">
        <w:rPr>
          <w:rFonts w:eastAsia="SimSun"/>
          <w:bCs/>
          <w:i/>
          <w:szCs w:val="22"/>
        </w:rPr>
        <w:t xml:space="preserve">. Specifically, </w:t>
      </w:r>
      <m:oMath>
        <m:sSub>
          <m:sSubPr>
            <m:ctrlPr>
              <w:rPr>
                <w:rFonts w:ascii="Cambria Math" w:eastAsia="SimSun" w:hAnsi="Cambria Math"/>
                <w:bCs/>
                <w:i/>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sidRPr="007D40BD">
        <w:rPr>
          <w:rFonts w:eastAsia="SimSun"/>
          <w:bCs/>
          <w:i/>
          <w:szCs w:val="22"/>
        </w:rPr>
        <w:t xml:space="preserve">, where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sidRPr="007D40BD">
        <w:rPr>
          <w:rFonts w:eastAsia="SimSun"/>
          <w:bCs/>
          <w:i/>
          <w:szCs w:val="22"/>
        </w:rPr>
        <w:t xml:space="preserve"> is a constant with value equal to PSCCH scrambling sequence initialization value,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oMath>
      <w:r w:rsidR="007D40BD" w:rsidRPr="007D40BD">
        <w:rPr>
          <w:rFonts w:eastAsia="SimSun"/>
          <w:bCs/>
          <w:i/>
          <w:szCs w:val="22"/>
        </w:rPr>
        <w:t xml:space="preserve"> is the XOR of 16 MSB of first stage SCI CRC and 16 LSB of second stage SCI CRC.</w:t>
      </w:r>
      <w:r w:rsidR="007D40BD">
        <w:rPr>
          <w:rFonts w:eastAsia="SimSun"/>
          <w:bCs/>
          <w:iCs/>
          <w:szCs w:val="22"/>
        </w:rPr>
        <w:t xml:space="preserve"> </w:t>
      </w:r>
    </w:p>
    <w:p w14:paraId="09A985F7" w14:textId="77777777" w:rsidR="007D40BD" w:rsidRPr="007D40BD" w:rsidRDefault="007D40BD" w:rsidP="00C90EE9">
      <w:pPr>
        <w:jc w:val="both"/>
        <w:rPr>
          <w:rFonts w:eastAsia="SimSun"/>
          <w:bCs/>
          <w:i/>
          <w:szCs w:val="22"/>
        </w:rPr>
      </w:pPr>
    </w:p>
    <w:p w14:paraId="1C593D6C" w14:textId="57E9A2D5" w:rsidR="00EE6E87" w:rsidRDefault="00EE6E87" w:rsidP="00EA5A5B">
      <w:pPr>
        <w:pStyle w:val="Heading2"/>
      </w:pPr>
      <w:r>
        <w:lastRenderedPageBreak/>
        <w:t>Second Stage SCI</w:t>
      </w:r>
      <w:r w:rsidR="0043134C">
        <w:t xml:space="preserve"> Formats</w:t>
      </w:r>
      <w:r w:rsidR="005D2EFF">
        <w:t xml:space="preserve"> </w:t>
      </w:r>
    </w:p>
    <w:p w14:paraId="3825182B" w14:textId="6A1FC212" w:rsidR="005D2EFF" w:rsidRDefault="005D2EFF" w:rsidP="00EE6E87">
      <w:pPr>
        <w:contextualSpacing/>
        <w:jc w:val="both"/>
      </w:pPr>
      <w:r>
        <w:t>Two-stage SCI design was adopted in NR V2X, where</w:t>
      </w:r>
      <w:r w:rsidR="00DA348F">
        <w:t xml:space="preserve"> the</w:t>
      </w:r>
      <w:r>
        <w:t xml:space="preserve"> </w:t>
      </w:r>
      <w:r w:rsidR="00B87AAF">
        <w:t xml:space="preserve">first stage </w:t>
      </w:r>
      <w:r>
        <w:t xml:space="preserve">SCI (or, SCI format 0_1) contains time and frequency resource assignment, priority, DMRS pattern, second stage SCI format, beta-offset indicator, number of DMRS port, MCS and reserved bits. </w:t>
      </w:r>
      <w:r w:rsidR="00DA348F">
        <w:t>The s</w:t>
      </w:r>
      <w:r w:rsidR="00B87AAF">
        <w:t xml:space="preserve">econd stage </w:t>
      </w:r>
      <w:r>
        <w:t>SCI (or, SCI format 0_2) contains HARQ process ID, NDI, RV, source ID, destination ID, CSI request, zone ID and communication range requirement. The details of</w:t>
      </w:r>
      <w:r w:rsidR="00B87AAF">
        <w:t xml:space="preserve"> second stage</w:t>
      </w:r>
      <w:r>
        <w:t xml:space="preserve"> SCI format</w:t>
      </w:r>
      <w:r w:rsidR="00B87AAF">
        <w:t xml:space="preserve">(s) are still open. </w:t>
      </w:r>
    </w:p>
    <w:p w14:paraId="1722CC57" w14:textId="77777777" w:rsidR="00B87AAF" w:rsidRDefault="00B87AAF" w:rsidP="00EE6E87">
      <w:pPr>
        <w:contextualSpacing/>
        <w:jc w:val="both"/>
      </w:pPr>
    </w:p>
    <w:p w14:paraId="0A677448" w14:textId="403E6CF1" w:rsidR="00B87AAF" w:rsidRDefault="00B87AAF" w:rsidP="00EE6E87">
      <w:pPr>
        <w:contextualSpacing/>
        <w:jc w:val="both"/>
      </w:pPr>
      <w:r>
        <w:t xml:space="preserve">In our view, not all the fields in second stage SCI is used in every cast-type and </w:t>
      </w:r>
      <w:r w:rsidR="003C2425">
        <w:t>two</w:t>
      </w:r>
      <w:r>
        <w:t xml:space="preserve"> option</w:t>
      </w:r>
      <w:r w:rsidR="003C2425">
        <w:t>s</w:t>
      </w:r>
      <w:r>
        <w:t xml:space="preserve"> of groupcast.</w:t>
      </w:r>
      <w:r w:rsidR="004C0045">
        <w:t xml:space="preserve"> For example, the zone ID and communication range requirements are only used for groupcast </w:t>
      </w:r>
      <w:r w:rsidR="00144DF9">
        <w:t>HARQ o</w:t>
      </w:r>
      <w:r w:rsidR="004C0045">
        <w:t xml:space="preserve">ption 1. We summarize the estimated field size and applicability in the following table. </w:t>
      </w:r>
    </w:p>
    <w:p w14:paraId="2C80B934" w14:textId="614DC679" w:rsidR="00CB28B4" w:rsidRDefault="00CB28B4" w:rsidP="00EE6E87">
      <w:pPr>
        <w:contextualSpacing/>
        <w:jc w:val="both"/>
      </w:pPr>
    </w:p>
    <w:p w14:paraId="71944F2A" w14:textId="4B0BEF10" w:rsidR="005F59B6" w:rsidRDefault="005F59B6" w:rsidP="005F59B6">
      <w:pPr>
        <w:pStyle w:val="Caption"/>
        <w:keepNext/>
      </w:pPr>
      <w:bookmarkStart w:id="0" w:name="_Ref34823478"/>
      <w:r>
        <w:t xml:space="preserve">Table </w:t>
      </w:r>
      <w:r w:rsidR="003D7193">
        <w:fldChar w:fldCharType="begin"/>
      </w:r>
      <w:r w:rsidR="003D7193">
        <w:instrText xml:space="preserve"> SEQ Table \* ARABIC </w:instrText>
      </w:r>
      <w:r w:rsidR="003D7193">
        <w:fldChar w:fldCharType="separate"/>
      </w:r>
      <w:r w:rsidR="009E2E65">
        <w:rPr>
          <w:noProof/>
        </w:rPr>
        <w:t>1</w:t>
      </w:r>
      <w:r w:rsidR="003D7193">
        <w:rPr>
          <w:noProof/>
        </w:rPr>
        <w:fldChar w:fldCharType="end"/>
      </w:r>
      <w:bookmarkEnd w:id="0"/>
      <w:r>
        <w:t>: Estimated second stage SCI payload</w:t>
      </w:r>
      <w:r w:rsidR="00F71B49">
        <w:t xml:space="preserve"> size</w:t>
      </w:r>
      <w:r>
        <w:t xml:space="preserve"> for cast-types</w:t>
      </w:r>
    </w:p>
    <w:tbl>
      <w:tblPr>
        <w:tblStyle w:val="TableGrid"/>
        <w:tblW w:w="9662" w:type="dxa"/>
        <w:tblLayout w:type="fixed"/>
        <w:tblLook w:val="04A0" w:firstRow="1" w:lastRow="0" w:firstColumn="1" w:lastColumn="0" w:noHBand="0" w:noVBand="1"/>
      </w:tblPr>
      <w:tblGrid>
        <w:gridCol w:w="2965"/>
        <w:gridCol w:w="990"/>
        <w:gridCol w:w="1080"/>
        <w:gridCol w:w="1183"/>
        <w:gridCol w:w="1166"/>
        <w:gridCol w:w="1161"/>
        <w:gridCol w:w="1117"/>
      </w:tblGrid>
      <w:tr w:rsidR="00401BCB" w14:paraId="4DDDDA2F" w14:textId="2A18DB32" w:rsidTr="00401BCB">
        <w:trPr>
          <w:trHeight w:val="540"/>
        </w:trPr>
        <w:tc>
          <w:tcPr>
            <w:tcW w:w="2965" w:type="dxa"/>
          </w:tcPr>
          <w:p w14:paraId="2DD3F94A" w14:textId="4E8D71B0" w:rsidR="00D76EF1" w:rsidRDefault="00D76EF1" w:rsidP="00EE6E87">
            <w:pPr>
              <w:contextualSpacing/>
              <w:jc w:val="both"/>
            </w:pPr>
            <w:r>
              <w:t>Payload field</w:t>
            </w:r>
          </w:p>
        </w:tc>
        <w:tc>
          <w:tcPr>
            <w:tcW w:w="990" w:type="dxa"/>
          </w:tcPr>
          <w:p w14:paraId="380F6978" w14:textId="2FB76538" w:rsidR="00D76EF1" w:rsidRDefault="00D76EF1" w:rsidP="00EE6E87">
            <w:pPr>
              <w:contextualSpacing/>
              <w:jc w:val="both"/>
            </w:pPr>
            <w:r>
              <w:t>Payload size (bits)</w:t>
            </w:r>
          </w:p>
        </w:tc>
        <w:tc>
          <w:tcPr>
            <w:tcW w:w="1080" w:type="dxa"/>
          </w:tcPr>
          <w:p w14:paraId="424DF56A" w14:textId="2A9E90B7" w:rsidR="00D76EF1" w:rsidRDefault="00D76EF1" w:rsidP="00401BCB">
            <w:pPr>
              <w:ind w:left="-69" w:right="-99"/>
              <w:contextualSpacing/>
              <w:jc w:val="both"/>
            </w:pPr>
            <w:r>
              <w:t>Broadcast</w:t>
            </w:r>
          </w:p>
        </w:tc>
        <w:tc>
          <w:tcPr>
            <w:tcW w:w="1183" w:type="dxa"/>
          </w:tcPr>
          <w:p w14:paraId="43CCAEA9" w14:textId="26225CF3" w:rsidR="00D76EF1" w:rsidRDefault="00D76EF1" w:rsidP="00EE6E87">
            <w:pPr>
              <w:contextualSpacing/>
              <w:jc w:val="both"/>
            </w:pPr>
            <w:r>
              <w:t>Unicast (w. or w/o feedback)</w:t>
            </w:r>
          </w:p>
        </w:tc>
        <w:tc>
          <w:tcPr>
            <w:tcW w:w="1166" w:type="dxa"/>
          </w:tcPr>
          <w:p w14:paraId="6C9A1446" w14:textId="3D7644A6" w:rsidR="00D76EF1" w:rsidRPr="00D76EF1" w:rsidRDefault="00D76EF1" w:rsidP="00D76EF1">
            <w:pPr>
              <w:ind w:right="-113"/>
            </w:pPr>
            <w:r>
              <w:t>Groupcast without feedback</w:t>
            </w:r>
          </w:p>
        </w:tc>
        <w:tc>
          <w:tcPr>
            <w:tcW w:w="1161" w:type="dxa"/>
          </w:tcPr>
          <w:p w14:paraId="1E556A5B" w14:textId="13E7276F" w:rsidR="00D76EF1" w:rsidRDefault="00D76EF1" w:rsidP="00D76EF1">
            <w:pPr>
              <w:ind w:left="-40" w:right="-60"/>
              <w:contextualSpacing/>
              <w:jc w:val="both"/>
            </w:pPr>
            <w:r>
              <w:t xml:space="preserve">Groupcast </w:t>
            </w:r>
            <w:r w:rsidR="00144DF9">
              <w:t>HARQ o</w:t>
            </w:r>
            <w:r>
              <w:t>ption 1</w:t>
            </w:r>
          </w:p>
        </w:tc>
        <w:tc>
          <w:tcPr>
            <w:tcW w:w="1117" w:type="dxa"/>
          </w:tcPr>
          <w:p w14:paraId="169DD420" w14:textId="32637701" w:rsidR="00D76EF1" w:rsidRDefault="00D76EF1" w:rsidP="00D76EF1">
            <w:pPr>
              <w:ind w:right="-107"/>
              <w:contextualSpacing/>
              <w:jc w:val="both"/>
            </w:pPr>
            <w:r>
              <w:t xml:space="preserve">Groupcast </w:t>
            </w:r>
            <w:r w:rsidR="00144DF9">
              <w:t>HARQ o</w:t>
            </w:r>
            <w:r>
              <w:t>ption 2</w:t>
            </w:r>
          </w:p>
        </w:tc>
      </w:tr>
      <w:tr w:rsidR="00401BCB" w14:paraId="21EED4CE" w14:textId="3FDF83A0" w:rsidTr="00401BCB">
        <w:trPr>
          <w:trHeight w:val="263"/>
        </w:trPr>
        <w:tc>
          <w:tcPr>
            <w:tcW w:w="2965" w:type="dxa"/>
          </w:tcPr>
          <w:p w14:paraId="53080E98" w14:textId="1BBF9D0C" w:rsidR="00D76EF1" w:rsidRDefault="00D76EF1" w:rsidP="00EE6E87">
            <w:pPr>
              <w:contextualSpacing/>
              <w:jc w:val="both"/>
            </w:pPr>
            <w:r>
              <w:t xml:space="preserve">Source ID </w:t>
            </w:r>
          </w:p>
        </w:tc>
        <w:tc>
          <w:tcPr>
            <w:tcW w:w="990" w:type="dxa"/>
          </w:tcPr>
          <w:p w14:paraId="7724CF08" w14:textId="29B2E585" w:rsidR="00D76EF1" w:rsidRDefault="00D76EF1" w:rsidP="00EE6E87">
            <w:pPr>
              <w:contextualSpacing/>
              <w:jc w:val="both"/>
            </w:pPr>
            <w:r>
              <w:t>8</w:t>
            </w:r>
          </w:p>
        </w:tc>
        <w:tc>
          <w:tcPr>
            <w:tcW w:w="1080" w:type="dxa"/>
          </w:tcPr>
          <w:p w14:paraId="5A2762BC" w14:textId="7595F762" w:rsidR="00D76EF1" w:rsidRDefault="00D76EF1" w:rsidP="00401BCB">
            <w:pPr>
              <w:ind w:left="-69" w:right="-99"/>
              <w:contextualSpacing/>
              <w:jc w:val="both"/>
            </w:pPr>
            <w:r>
              <w:t>Yes</w:t>
            </w:r>
          </w:p>
        </w:tc>
        <w:tc>
          <w:tcPr>
            <w:tcW w:w="1183" w:type="dxa"/>
          </w:tcPr>
          <w:p w14:paraId="3403B7D0" w14:textId="5A2767DA" w:rsidR="00D76EF1" w:rsidRDefault="00D76EF1" w:rsidP="00EE6E87">
            <w:pPr>
              <w:contextualSpacing/>
              <w:jc w:val="both"/>
            </w:pPr>
            <w:r>
              <w:t>Yes</w:t>
            </w:r>
          </w:p>
        </w:tc>
        <w:tc>
          <w:tcPr>
            <w:tcW w:w="1166" w:type="dxa"/>
          </w:tcPr>
          <w:p w14:paraId="5C6A2A1A" w14:textId="16E29DB3" w:rsidR="00D76EF1" w:rsidRDefault="00D76EF1" w:rsidP="00EE6E87">
            <w:pPr>
              <w:contextualSpacing/>
              <w:jc w:val="both"/>
            </w:pPr>
            <w:r>
              <w:t>Yes</w:t>
            </w:r>
          </w:p>
        </w:tc>
        <w:tc>
          <w:tcPr>
            <w:tcW w:w="1161" w:type="dxa"/>
          </w:tcPr>
          <w:p w14:paraId="0DAF8786" w14:textId="6E08A335" w:rsidR="00D76EF1" w:rsidRDefault="00D76EF1" w:rsidP="00EE6E87">
            <w:pPr>
              <w:contextualSpacing/>
              <w:jc w:val="both"/>
            </w:pPr>
            <w:r>
              <w:t>Yes</w:t>
            </w:r>
          </w:p>
        </w:tc>
        <w:tc>
          <w:tcPr>
            <w:tcW w:w="1117" w:type="dxa"/>
          </w:tcPr>
          <w:p w14:paraId="7CC96D35" w14:textId="5E6F95D8" w:rsidR="00D76EF1" w:rsidRDefault="00D76EF1" w:rsidP="00EE6E87">
            <w:pPr>
              <w:contextualSpacing/>
              <w:jc w:val="both"/>
            </w:pPr>
            <w:r>
              <w:t>Yes</w:t>
            </w:r>
          </w:p>
        </w:tc>
      </w:tr>
      <w:tr w:rsidR="00401BCB" w14:paraId="2F46AA8D" w14:textId="566F9386" w:rsidTr="00401BCB">
        <w:trPr>
          <w:trHeight w:val="263"/>
        </w:trPr>
        <w:tc>
          <w:tcPr>
            <w:tcW w:w="2965" w:type="dxa"/>
          </w:tcPr>
          <w:p w14:paraId="6266B45B" w14:textId="56692BBC" w:rsidR="00D76EF1" w:rsidRDefault="00D76EF1" w:rsidP="00EE6E87">
            <w:pPr>
              <w:contextualSpacing/>
              <w:jc w:val="both"/>
            </w:pPr>
            <w:r>
              <w:t xml:space="preserve">Destination ID </w:t>
            </w:r>
          </w:p>
        </w:tc>
        <w:tc>
          <w:tcPr>
            <w:tcW w:w="990" w:type="dxa"/>
          </w:tcPr>
          <w:p w14:paraId="1921F8E1" w14:textId="7B7DAFE1" w:rsidR="00D76EF1" w:rsidRDefault="00D76EF1" w:rsidP="00EE6E87">
            <w:pPr>
              <w:contextualSpacing/>
              <w:jc w:val="both"/>
            </w:pPr>
            <w:r>
              <w:t>16</w:t>
            </w:r>
          </w:p>
        </w:tc>
        <w:tc>
          <w:tcPr>
            <w:tcW w:w="1080" w:type="dxa"/>
          </w:tcPr>
          <w:p w14:paraId="47557FD8" w14:textId="1EDC1FDF" w:rsidR="00D76EF1" w:rsidRDefault="00D76EF1" w:rsidP="00401BCB">
            <w:pPr>
              <w:ind w:left="-69" w:right="-99"/>
              <w:contextualSpacing/>
              <w:jc w:val="both"/>
            </w:pPr>
            <w:r>
              <w:t>Yes</w:t>
            </w:r>
          </w:p>
        </w:tc>
        <w:tc>
          <w:tcPr>
            <w:tcW w:w="1183" w:type="dxa"/>
          </w:tcPr>
          <w:p w14:paraId="36164C79" w14:textId="75439D2C" w:rsidR="00D76EF1" w:rsidRDefault="00D76EF1" w:rsidP="00EE6E87">
            <w:pPr>
              <w:contextualSpacing/>
              <w:jc w:val="both"/>
            </w:pPr>
            <w:r>
              <w:t>Yes</w:t>
            </w:r>
          </w:p>
        </w:tc>
        <w:tc>
          <w:tcPr>
            <w:tcW w:w="1166" w:type="dxa"/>
          </w:tcPr>
          <w:p w14:paraId="3767AB34" w14:textId="30ECB876" w:rsidR="00D76EF1" w:rsidRDefault="00D76EF1" w:rsidP="00EE6E87">
            <w:pPr>
              <w:contextualSpacing/>
              <w:jc w:val="both"/>
            </w:pPr>
            <w:r>
              <w:t>Yes</w:t>
            </w:r>
          </w:p>
        </w:tc>
        <w:tc>
          <w:tcPr>
            <w:tcW w:w="1161" w:type="dxa"/>
          </w:tcPr>
          <w:p w14:paraId="108090FB" w14:textId="6FDE1F67" w:rsidR="00D76EF1" w:rsidRDefault="00D76EF1" w:rsidP="00EE6E87">
            <w:pPr>
              <w:contextualSpacing/>
              <w:jc w:val="both"/>
            </w:pPr>
            <w:r>
              <w:t>Yes</w:t>
            </w:r>
          </w:p>
        </w:tc>
        <w:tc>
          <w:tcPr>
            <w:tcW w:w="1117" w:type="dxa"/>
          </w:tcPr>
          <w:p w14:paraId="117B4C88" w14:textId="50942ECA" w:rsidR="00D76EF1" w:rsidRDefault="00D76EF1" w:rsidP="00EE6E87">
            <w:pPr>
              <w:contextualSpacing/>
              <w:jc w:val="both"/>
            </w:pPr>
            <w:r>
              <w:t>Yes</w:t>
            </w:r>
          </w:p>
        </w:tc>
      </w:tr>
      <w:tr w:rsidR="00401BCB" w14:paraId="46C4FD02" w14:textId="4233B082" w:rsidTr="00401BCB">
        <w:trPr>
          <w:trHeight w:val="263"/>
        </w:trPr>
        <w:tc>
          <w:tcPr>
            <w:tcW w:w="2965" w:type="dxa"/>
          </w:tcPr>
          <w:p w14:paraId="4509B3FF" w14:textId="5E7C0218" w:rsidR="00D76EF1" w:rsidRDefault="00D76EF1" w:rsidP="00D76EF1">
            <w:pPr>
              <w:contextualSpacing/>
              <w:jc w:val="both"/>
            </w:pPr>
            <w:r>
              <w:t xml:space="preserve">HARQ process ID, NDI, RV </w:t>
            </w:r>
          </w:p>
        </w:tc>
        <w:tc>
          <w:tcPr>
            <w:tcW w:w="990" w:type="dxa"/>
          </w:tcPr>
          <w:p w14:paraId="204B1023" w14:textId="5F12171E" w:rsidR="00D76EF1" w:rsidRDefault="00D76EF1" w:rsidP="005F59B6">
            <w:pPr>
              <w:contextualSpacing/>
              <w:jc w:val="both"/>
            </w:pPr>
            <w:r>
              <w:t>~7</w:t>
            </w:r>
          </w:p>
        </w:tc>
        <w:tc>
          <w:tcPr>
            <w:tcW w:w="1080" w:type="dxa"/>
          </w:tcPr>
          <w:p w14:paraId="7AB6C1AA" w14:textId="28B1C71B" w:rsidR="00D76EF1" w:rsidRDefault="00D76EF1" w:rsidP="00401BCB">
            <w:pPr>
              <w:ind w:left="-69" w:right="-99"/>
              <w:contextualSpacing/>
              <w:jc w:val="both"/>
            </w:pPr>
            <w:r>
              <w:t>Yes</w:t>
            </w:r>
          </w:p>
        </w:tc>
        <w:tc>
          <w:tcPr>
            <w:tcW w:w="1183" w:type="dxa"/>
          </w:tcPr>
          <w:p w14:paraId="50308461" w14:textId="47303119" w:rsidR="00D76EF1" w:rsidRDefault="00D76EF1" w:rsidP="005F59B6">
            <w:pPr>
              <w:contextualSpacing/>
              <w:jc w:val="both"/>
            </w:pPr>
            <w:r>
              <w:t>Yes</w:t>
            </w:r>
          </w:p>
        </w:tc>
        <w:tc>
          <w:tcPr>
            <w:tcW w:w="1166" w:type="dxa"/>
          </w:tcPr>
          <w:p w14:paraId="1F853B8A" w14:textId="63D7826B" w:rsidR="00D76EF1" w:rsidRDefault="00D76EF1" w:rsidP="005F59B6">
            <w:pPr>
              <w:contextualSpacing/>
              <w:jc w:val="both"/>
            </w:pPr>
            <w:r>
              <w:t>Yes</w:t>
            </w:r>
          </w:p>
        </w:tc>
        <w:tc>
          <w:tcPr>
            <w:tcW w:w="1161" w:type="dxa"/>
          </w:tcPr>
          <w:p w14:paraId="70534D2F" w14:textId="1F1FBC3D" w:rsidR="00D76EF1" w:rsidRDefault="00D76EF1" w:rsidP="005F59B6">
            <w:pPr>
              <w:contextualSpacing/>
              <w:jc w:val="both"/>
            </w:pPr>
            <w:r>
              <w:t>Yes</w:t>
            </w:r>
          </w:p>
        </w:tc>
        <w:tc>
          <w:tcPr>
            <w:tcW w:w="1117" w:type="dxa"/>
          </w:tcPr>
          <w:p w14:paraId="5407406B" w14:textId="6E15C88D" w:rsidR="00D76EF1" w:rsidRDefault="00D76EF1" w:rsidP="005F59B6">
            <w:pPr>
              <w:contextualSpacing/>
              <w:jc w:val="both"/>
            </w:pPr>
            <w:r>
              <w:t>Yes</w:t>
            </w:r>
          </w:p>
        </w:tc>
      </w:tr>
      <w:tr w:rsidR="00401BCB" w14:paraId="635CDA02" w14:textId="353F36DE" w:rsidTr="00401BCB">
        <w:trPr>
          <w:trHeight w:val="275"/>
        </w:trPr>
        <w:tc>
          <w:tcPr>
            <w:tcW w:w="2965" w:type="dxa"/>
          </w:tcPr>
          <w:p w14:paraId="0E2B162A" w14:textId="6950DEB0" w:rsidR="00D76EF1" w:rsidRDefault="00D76EF1" w:rsidP="005F59B6">
            <w:pPr>
              <w:contextualSpacing/>
              <w:jc w:val="both"/>
            </w:pPr>
            <w:r>
              <w:t xml:space="preserve">CSI request </w:t>
            </w:r>
          </w:p>
        </w:tc>
        <w:tc>
          <w:tcPr>
            <w:tcW w:w="990" w:type="dxa"/>
          </w:tcPr>
          <w:p w14:paraId="25FDF3F8" w14:textId="37F8F68B" w:rsidR="00D76EF1" w:rsidRDefault="00D76EF1" w:rsidP="005F59B6">
            <w:pPr>
              <w:contextualSpacing/>
              <w:jc w:val="both"/>
            </w:pPr>
            <w:r>
              <w:t>1</w:t>
            </w:r>
          </w:p>
        </w:tc>
        <w:tc>
          <w:tcPr>
            <w:tcW w:w="1080" w:type="dxa"/>
          </w:tcPr>
          <w:p w14:paraId="1A85391A" w14:textId="41C3DC96" w:rsidR="00D76EF1" w:rsidRDefault="00D76EF1" w:rsidP="00401BCB">
            <w:pPr>
              <w:ind w:left="-69" w:right="-99"/>
              <w:contextualSpacing/>
              <w:jc w:val="both"/>
            </w:pPr>
            <w:r>
              <w:t>No</w:t>
            </w:r>
          </w:p>
        </w:tc>
        <w:tc>
          <w:tcPr>
            <w:tcW w:w="1183" w:type="dxa"/>
          </w:tcPr>
          <w:p w14:paraId="03EC6348" w14:textId="14C64EE9" w:rsidR="00D76EF1" w:rsidRDefault="00D76EF1" w:rsidP="005F59B6">
            <w:pPr>
              <w:contextualSpacing/>
              <w:jc w:val="both"/>
            </w:pPr>
            <w:r>
              <w:t>Yes</w:t>
            </w:r>
          </w:p>
        </w:tc>
        <w:tc>
          <w:tcPr>
            <w:tcW w:w="1166" w:type="dxa"/>
          </w:tcPr>
          <w:p w14:paraId="1007D1FB" w14:textId="7FB6C5BB" w:rsidR="00D76EF1" w:rsidRDefault="00D76EF1" w:rsidP="005F59B6">
            <w:pPr>
              <w:contextualSpacing/>
              <w:jc w:val="both"/>
            </w:pPr>
            <w:r>
              <w:t>No</w:t>
            </w:r>
          </w:p>
        </w:tc>
        <w:tc>
          <w:tcPr>
            <w:tcW w:w="1161" w:type="dxa"/>
          </w:tcPr>
          <w:p w14:paraId="1EA9638D" w14:textId="5549ECA1" w:rsidR="00D76EF1" w:rsidRDefault="00D76EF1" w:rsidP="005F59B6">
            <w:pPr>
              <w:contextualSpacing/>
              <w:jc w:val="both"/>
            </w:pPr>
            <w:r>
              <w:t>No</w:t>
            </w:r>
          </w:p>
        </w:tc>
        <w:tc>
          <w:tcPr>
            <w:tcW w:w="1117" w:type="dxa"/>
          </w:tcPr>
          <w:p w14:paraId="5528AF00" w14:textId="6B4B702F" w:rsidR="00D76EF1" w:rsidRDefault="00D76EF1" w:rsidP="005F59B6">
            <w:pPr>
              <w:contextualSpacing/>
              <w:jc w:val="both"/>
            </w:pPr>
            <w:r>
              <w:t>No</w:t>
            </w:r>
          </w:p>
        </w:tc>
      </w:tr>
      <w:tr w:rsidR="00401BCB" w14:paraId="11DEBA3B" w14:textId="14CE705D" w:rsidTr="00401BCB">
        <w:trPr>
          <w:trHeight w:val="529"/>
        </w:trPr>
        <w:tc>
          <w:tcPr>
            <w:tcW w:w="2965" w:type="dxa"/>
          </w:tcPr>
          <w:p w14:paraId="7C246AFF" w14:textId="1EE599FA" w:rsidR="00D76EF1" w:rsidRDefault="00D76EF1" w:rsidP="005F59B6">
            <w:pPr>
              <w:contextualSpacing/>
              <w:jc w:val="both"/>
            </w:pPr>
            <w:r>
              <w:t xml:space="preserve">Zone ID and communication range requirement </w:t>
            </w:r>
          </w:p>
        </w:tc>
        <w:tc>
          <w:tcPr>
            <w:tcW w:w="990" w:type="dxa"/>
          </w:tcPr>
          <w:p w14:paraId="1C29A489" w14:textId="0FDD93E5" w:rsidR="00D76EF1" w:rsidRDefault="00D76EF1" w:rsidP="005F59B6">
            <w:pPr>
              <w:contextualSpacing/>
              <w:jc w:val="both"/>
            </w:pPr>
            <w:r>
              <w:t>16</w:t>
            </w:r>
          </w:p>
        </w:tc>
        <w:tc>
          <w:tcPr>
            <w:tcW w:w="1080" w:type="dxa"/>
          </w:tcPr>
          <w:p w14:paraId="0499E4D4" w14:textId="6B31616F" w:rsidR="00D76EF1" w:rsidRDefault="00D76EF1" w:rsidP="00401BCB">
            <w:pPr>
              <w:ind w:left="-69" w:right="-99"/>
              <w:contextualSpacing/>
              <w:jc w:val="both"/>
            </w:pPr>
            <w:r>
              <w:t>No</w:t>
            </w:r>
          </w:p>
        </w:tc>
        <w:tc>
          <w:tcPr>
            <w:tcW w:w="1183" w:type="dxa"/>
          </w:tcPr>
          <w:p w14:paraId="1EEC5051" w14:textId="55FA4AE5" w:rsidR="00D76EF1" w:rsidRDefault="00D76EF1" w:rsidP="005F59B6">
            <w:pPr>
              <w:contextualSpacing/>
              <w:jc w:val="both"/>
            </w:pPr>
            <w:r>
              <w:t>No</w:t>
            </w:r>
          </w:p>
        </w:tc>
        <w:tc>
          <w:tcPr>
            <w:tcW w:w="1166" w:type="dxa"/>
          </w:tcPr>
          <w:p w14:paraId="3DA95A7B" w14:textId="42DA13ED" w:rsidR="00D76EF1" w:rsidRDefault="00D76EF1" w:rsidP="005F59B6">
            <w:pPr>
              <w:contextualSpacing/>
              <w:jc w:val="both"/>
            </w:pPr>
            <w:r>
              <w:t>No</w:t>
            </w:r>
          </w:p>
        </w:tc>
        <w:tc>
          <w:tcPr>
            <w:tcW w:w="1161" w:type="dxa"/>
          </w:tcPr>
          <w:p w14:paraId="6AD1E8D9" w14:textId="170F3678" w:rsidR="00D76EF1" w:rsidRDefault="00D76EF1" w:rsidP="005F59B6">
            <w:pPr>
              <w:contextualSpacing/>
              <w:jc w:val="both"/>
            </w:pPr>
            <w:r>
              <w:t>Yes</w:t>
            </w:r>
          </w:p>
        </w:tc>
        <w:tc>
          <w:tcPr>
            <w:tcW w:w="1117" w:type="dxa"/>
          </w:tcPr>
          <w:p w14:paraId="4EB95FB3" w14:textId="75097BCB" w:rsidR="00D76EF1" w:rsidRDefault="00D76EF1" w:rsidP="005F59B6">
            <w:pPr>
              <w:contextualSpacing/>
              <w:jc w:val="both"/>
            </w:pPr>
            <w:r>
              <w:t>No</w:t>
            </w:r>
          </w:p>
        </w:tc>
      </w:tr>
      <w:tr w:rsidR="00401BCB" w14:paraId="7580F75A" w14:textId="38992D8B" w:rsidTr="00401BCB">
        <w:trPr>
          <w:trHeight w:val="540"/>
        </w:trPr>
        <w:tc>
          <w:tcPr>
            <w:tcW w:w="2965" w:type="dxa"/>
          </w:tcPr>
          <w:p w14:paraId="289B2467" w14:textId="54A70BE8" w:rsidR="00D76EF1" w:rsidRDefault="00D76EF1" w:rsidP="005F59B6">
            <w:pPr>
              <w:contextualSpacing/>
              <w:jc w:val="both"/>
            </w:pPr>
            <w:r>
              <w:t>Total approximate payload size without CRC (bits)</w:t>
            </w:r>
          </w:p>
        </w:tc>
        <w:tc>
          <w:tcPr>
            <w:tcW w:w="990" w:type="dxa"/>
          </w:tcPr>
          <w:p w14:paraId="62D05B62" w14:textId="782DA3C9" w:rsidR="00D76EF1" w:rsidRDefault="00D76EF1" w:rsidP="005F59B6">
            <w:pPr>
              <w:contextualSpacing/>
              <w:jc w:val="both"/>
            </w:pPr>
            <w:r>
              <w:t>~48</w:t>
            </w:r>
          </w:p>
        </w:tc>
        <w:tc>
          <w:tcPr>
            <w:tcW w:w="1080" w:type="dxa"/>
          </w:tcPr>
          <w:p w14:paraId="6E4EA1E1" w14:textId="3C666DA9" w:rsidR="00D76EF1" w:rsidRDefault="00D76EF1" w:rsidP="00401BCB">
            <w:pPr>
              <w:ind w:left="-69" w:right="-99"/>
              <w:contextualSpacing/>
              <w:jc w:val="both"/>
            </w:pPr>
            <w:r>
              <w:t>31</w:t>
            </w:r>
          </w:p>
        </w:tc>
        <w:tc>
          <w:tcPr>
            <w:tcW w:w="1183" w:type="dxa"/>
          </w:tcPr>
          <w:p w14:paraId="59A5286D" w14:textId="44DE705F" w:rsidR="00D76EF1" w:rsidRDefault="00D76EF1" w:rsidP="005F59B6">
            <w:pPr>
              <w:contextualSpacing/>
              <w:jc w:val="both"/>
            </w:pPr>
            <w:r>
              <w:t>32</w:t>
            </w:r>
          </w:p>
        </w:tc>
        <w:tc>
          <w:tcPr>
            <w:tcW w:w="1166" w:type="dxa"/>
          </w:tcPr>
          <w:p w14:paraId="33526470" w14:textId="519FF614" w:rsidR="00D76EF1" w:rsidRDefault="00D76EF1" w:rsidP="005F59B6">
            <w:pPr>
              <w:contextualSpacing/>
              <w:jc w:val="both"/>
            </w:pPr>
            <w:r>
              <w:t>31</w:t>
            </w:r>
          </w:p>
        </w:tc>
        <w:tc>
          <w:tcPr>
            <w:tcW w:w="1161" w:type="dxa"/>
          </w:tcPr>
          <w:p w14:paraId="300CC8D2" w14:textId="25010610" w:rsidR="00D76EF1" w:rsidRDefault="00D76EF1" w:rsidP="005F59B6">
            <w:pPr>
              <w:contextualSpacing/>
              <w:jc w:val="both"/>
            </w:pPr>
            <w:r>
              <w:t>47</w:t>
            </w:r>
          </w:p>
        </w:tc>
        <w:tc>
          <w:tcPr>
            <w:tcW w:w="1117" w:type="dxa"/>
          </w:tcPr>
          <w:p w14:paraId="67750D54" w14:textId="57233E7E" w:rsidR="00D76EF1" w:rsidRDefault="00D76EF1" w:rsidP="005F59B6">
            <w:pPr>
              <w:contextualSpacing/>
              <w:jc w:val="both"/>
            </w:pPr>
            <w:r>
              <w:t>31</w:t>
            </w:r>
          </w:p>
        </w:tc>
      </w:tr>
    </w:tbl>
    <w:p w14:paraId="5D3FA284" w14:textId="77777777" w:rsidR="00E82FA1" w:rsidRDefault="00E82FA1" w:rsidP="00EE6E87">
      <w:pPr>
        <w:contextualSpacing/>
        <w:jc w:val="both"/>
      </w:pPr>
    </w:p>
    <w:p w14:paraId="42FB0B9A" w14:textId="17DE60C1" w:rsidR="005F59B6" w:rsidRDefault="005F59B6" w:rsidP="00EE6E87">
      <w:pPr>
        <w:contextualSpacing/>
        <w:jc w:val="both"/>
      </w:pPr>
      <w:r>
        <w:t xml:space="preserve">It seems from the table that second stage SCI payload size for groupcast </w:t>
      </w:r>
      <w:r w:rsidR="00144DF9">
        <w:t>HARQ o</w:t>
      </w:r>
      <w:r>
        <w:t xml:space="preserve">ption 1 </w:t>
      </w:r>
      <w:r w:rsidR="003C2425">
        <w:t>is</w:t>
      </w:r>
      <w:r>
        <w:t xml:space="preserve"> </w:t>
      </w:r>
      <w:r w:rsidR="003C2425">
        <w:t xml:space="preserve">larger </w:t>
      </w:r>
      <w:r>
        <w:t xml:space="preserve">than </w:t>
      </w:r>
      <w:r w:rsidR="003C2425">
        <w:t xml:space="preserve">that for </w:t>
      </w:r>
      <w:r>
        <w:t>other cast-types. Based on this observation, we propose to have t</w:t>
      </w:r>
      <w:r w:rsidR="008E3FB3">
        <w:t>wo</w:t>
      </w:r>
      <w:r>
        <w:t xml:space="preserve"> second stage SCI formats</w:t>
      </w:r>
      <w:r w:rsidR="00401BCB">
        <w:t>:</w:t>
      </w:r>
      <w:r>
        <w:t xml:space="preserve"> one for broadcast, </w:t>
      </w:r>
      <w:r w:rsidR="00401BCB">
        <w:t xml:space="preserve">unicast and groupcast without feedback, </w:t>
      </w:r>
      <w:r>
        <w:t xml:space="preserve">groupcast </w:t>
      </w:r>
      <w:r w:rsidR="00144DF9">
        <w:t>HARQ o</w:t>
      </w:r>
      <w:r>
        <w:t>ption 2</w:t>
      </w:r>
      <w:r w:rsidR="00401BCB">
        <w:t xml:space="preserve"> and unicast with feedback;</w:t>
      </w:r>
      <w:r>
        <w:t xml:space="preserve"> </w:t>
      </w:r>
      <w:r w:rsidR="008E3FB3">
        <w:t>the other one</w:t>
      </w:r>
      <w:r>
        <w:t xml:space="preserve"> for groupcast </w:t>
      </w:r>
      <w:r w:rsidR="00144DF9">
        <w:t>HARQ o</w:t>
      </w:r>
      <w:r>
        <w:t xml:space="preserve">ption 1. </w:t>
      </w:r>
    </w:p>
    <w:p w14:paraId="0A0AB3A5" w14:textId="435C321B" w:rsidR="00B87AAF" w:rsidRDefault="005F59B6" w:rsidP="00EE6E87">
      <w:pPr>
        <w:contextualSpacing/>
        <w:jc w:val="both"/>
      </w:pPr>
      <w:r>
        <w:t xml:space="preserve"> </w:t>
      </w:r>
    </w:p>
    <w:p w14:paraId="0C6ED612" w14:textId="639E4682" w:rsidR="005D2EFF" w:rsidRDefault="00B87AAF" w:rsidP="00EE6E87">
      <w:pPr>
        <w:contextualSpacing/>
        <w:jc w:val="both"/>
      </w:pPr>
      <w:r w:rsidRPr="001C381A">
        <w:rPr>
          <w:b/>
          <w:i/>
          <w:u w:val="single"/>
        </w:rPr>
        <w:t xml:space="preserve">Proposal </w:t>
      </w:r>
      <w:r w:rsidR="000654FB">
        <w:rPr>
          <w:b/>
          <w:i/>
          <w:u w:val="single"/>
        </w:rPr>
        <w:t>7</w:t>
      </w:r>
      <w:r w:rsidRPr="001C381A">
        <w:rPr>
          <w:b/>
          <w:i/>
          <w:u w:val="single"/>
        </w:rPr>
        <w:t>:</w:t>
      </w:r>
      <w:r w:rsidRPr="001C381A">
        <w:rPr>
          <w:i/>
        </w:rPr>
        <w:t xml:space="preserve"> </w:t>
      </w:r>
      <w:r w:rsidR="004C0045">
        <w:rPr>
          <w:rFonts w:eastAsia="SimSun"/>
          <w:bCs/>
          <w:i/>
          <w:szCs w:val="22"/>
        </w:rPr>
        <w:t>T</w:t>
      </w:r>
      <w:r w:rsidR="008E3FB3">
        <w:rPr>
          <w:rFonts w:eastAsia="SimSun"/>
          <w:bCs/>
          <w:i/>
          <w:szCs w:val="22"/>
        </w:rPr>
        <w:t>wo</w:t>
      </w:r>
      <w:r>
        <w:rPr>
          <w:rFonts w:eastAsia="SimSun"/>
          <w:bCs/>
          <w:i/>
          <w:szCs w:val="22"/>
        </w:rPr>
        <w:t xml:space="preserve"> second stage SCI formats are</w:t>
      </w:r>
      <w:r w:rsidR="004C0045">
        <w:rPr>
          <w:rFonts w:eastAsia="SimSun"/>
          <w:bCs/>
          <w:i/>
          <w:szCs w:val="22"/>
        </w:rPr>
        <w:t xml:space="preserve"> </w:t>
      </w:r>
      <w:r>
        <w:rPr>
          <w:rFonts w:eastAsia="SimSun"/>
          <w:bCs/>
          <w:i/>
          <w:szCs w:val="22"/>
        </w:rPr>
        <w:t>defined</w:t>
      </w:r>
      <w:r w:rsidR="00D76EF1">
        <w:rPr>
          <w:rFonts w:eastAsia="SimSun"/>
          <w:bCs/>
          <w:i/>
          <w:szCs w:val="22"/>
        </w:rPr>
        <w:t>. The first format is used</w:t>
      </w:r>
      <w:r>
        <w:rPr>
          <w:rFonts w:eastAsia="SimSun"/>
          <w:bCs/>
          <w:i/>
          <w:szCs w:val="22"/>
        </w:rPr>
        <w:t xml:space="preserve"> </w:t>
      </w:r>
      <w:r w:rsidR="004C0045">
        <w:rPr>
          <w:rFonts w:eastAsia="SimSun"/>
          <w:bCs/>
          <w:i/>
          <w:szCs w:val="22"/>
        </w:rPr>
        <w:t>for broadcast</w:t>
      </w:r>
      <w:r w:rsidR="00D76EF1">
        <w:rPr>
          <w:rFonts w:eastAsia="SimSun"/>
          <w:bCs/>
          <w:i/>
          <w:szCs w:val="22"/>
        </w:rPr>
        <w:t xml:space="preserve">, </w:t>
      </w:r>
      <w:r w:rsidR="004C0045">
        <w:rPr>
          <w:rFonts w:eastAsia="SimSun"/>
          <w:bCs/>
          <w:i/>
          <w:szCs w:val="22"/>
        </w:rPr>
        <w:t>unicast</w:t>
      </w:r>
      <w:r w:rsidR="00D76EF1">
        <w:rPr>
          <w:rFonts w:eastAsia="SimSun"/>
          <w:bCs/>
          <w:i/>
          <w:szCs w:val="22"/>
        </w:rPr>
        <w:t xml:space="preserve"> and </w:t>
      </w:r>
      <w:r w:rsidR="004C0045">
        <w:rPr>
          <w:rFonts w:eastAsia="SimSun"/>
          <w:bCs/>
          <w:i/>
          <w:szCs w:val="22"/>
        </w:rPr>
        <w:t xml:space="preserve">groupcast </w:t>
      </w:r>
      <w:r w:rsidR="00D76EF1">
        <w:rPr>
          <w:rFonts w:eastAsia="SimSun"/>
          <w:bCs/>
          <w:i/>
          <w:szCs w:val="22"/>
        </w:rPr>
        <w:t>without feedback, groupcast</w:t>
      </w:r>
      <w:r w:rsidR="00144DF9">
        <w:rPr>
          <w:rFonts w:eastAsia="SimSun"/>
          <w:bCs/>
          <w:i/>
          <w:szCs w:val="22"/>
        </w:rPr>
        <w:t xml:space="preserve"> HARQ</w:t>
      </w:r>
      <w:r w:rsidR="00D76EF1">
        <w:rPr>
          <w:rFonts w:eastAsia="SimSun"/>
          <w:bCs/>
          <w:i/>
          <w:szCs w:val="22"/>
        </w:rPr>
        <w:t xml:space="preserve"> </w:t>
      </w:r>
      <w:r w:rsidR="004C0045">
        <w:rPr>
          <w:rFonts w:eastAsia="SimSun"/>
          <w:bCs/>
          <w:i/>
          <w:szCs w:val="22"/>
        </w:rPr>
        <w:t>option 2</w:t>
      </w:r>
      <w:r w:rsidR="00401BCB">
        <w:rPr>
          <w:rFonts w:eastAsia="SimSun"/>
          <w:bCs/>
          <w:i/>
          <w:szCs w:val="22"/>
        </w:rPr>
        <w:t xml:space="preserve"> and unicast</w:t>
      </w:r>
      <w:r w:rsidR="00D76EF1">
        <w:rPr>
          <w:rFonts w:eastAsia="SimSun"/>
          <w:bCs/>
          <w:i/>
          <w:szCs w:val="22"/>
        </w:rPr>
        <w:t xml:space="preserve"> with feedback. The second format is used for </w:t>
      </w:r>
      <w:r w:rsidR="004C0045">
        <w:rPr>
          <w:rFonts w:eastAsia="SimSun"/>
          <w:bCs/>
          <w:i/>
          <w:szCs w:val="22"/>
        </w:rPr>
        <w:t xml:space="preserve">groupcast </w:t>
      </w:r>
      <w:r w:rsidR="00144DF9">
        <w:rPr>
          <w:rFonts w:eastAsia="SimSun"/>
          <w:bCs/>
          <w:i/>
          <w:szCs w:val="22"/>
        </w:rPr>
        <w:t xml:space="preserve">HARQ </w:t>
      </w:r>
      <w:r w:rsidR="004C0045">
        <w:rPr>
          <w:rFonts w:eastAsia="SimSun"/>
          <w:bCs/>
          <w:i/>
          <w:szCs w:val="22"/>
        </w:rPr>
        <w:t>option 1.</w:t>
      </w:r>
      <w:r w:rsidR="00FD0B37">
        <w:rPr>
          <w:rFonts w:eastAsia="SimSun"/>
          <w:bCs/>
          <w:i/>
          <w:szCs w:val="22"/>
        </w:rPr>
        <w:t xml:space="preserve"> </w:t>
      </w:r>
    </w:p>
    <w:p w14:paraId="2EF39DD0" w14:textId="451E9380" w:rsidR="005D2EFF" w:rsidRDefault="005D2EFF" w:rsidP="00EE6E87">
      <w:pPr>
        <w:contextualSpacing/>
        <w:jc w:val="both"/>
      </w:pPr>
    </w:p>
    <w:p w14:paraId="410D5CE8" w14:textId="6262246D" w:rsidR="005F59B6" w:rsidRDefault="005F59B6" w:rsidP="00EE6E87">
      <w:pPr>
        <w:contextualSpacing/>
        <w:jc w:val="both"/>
      </w:pPr>
      <w:r>
        <w:t>The field of “second stage SCI format” in first stage SCI should be 2 bits, to indicate one of t</w:t>
      </w:r>
      <w:r w:rsidR="008E3FB3">
        <w:t>wo</w:t>
      </w:r>
      <w:r>
        <w:t xml:space="preserve"> second stage SCI formats. The </w:t>
      </w:r>
      <w:r w:rsidR="008E3FB3">
        <w:t>last two</w:t>
      </w:r>
      <w:r>
        <w:t xml:space="preserve"> code point</w:t>
      </w:r>
      <w:r w:rsidR="008E3FB3">
        <w:t>s</w:t>
      </w:r>
      <w:r>
        <w:t xml:space="preserve"> of this field </w:t>
      </w:r>
      <w:r w:rsidR="008E3FB3">
        <w:t>are</w:t>
      </w:r>
      <w:r>
        <w:t xml:space="preserve"> reserved for future use. </w:t>
      </w:r>
    </w:p>
    <w:p w14:paraId="3754A3D9" w14:textId="77777777" w:rsidR="005F59B6" w:rsidRDefault="005F59B6" w:rsidP="00EE6E87">
      <w:pPr>
        <w:contextualSpacing/>
        <w:jc w:val="both"/>
      </w:pPr>
    </w:p>
    <w:p w14:paraId="100207E3" w14:textId="513DAF03" w:rsidR="005F59B6" w:rsidRDefault="005F59B6" w:rsidP="005F59B6">
      <w:pPr>
        <w:contextualSpacing/>
        <w:jc w:val="both"/>
      </w:pPr>
      <w:r w:rsidRPr="001C381A">
        <w:rPr>
          <w:b/>
          <w:i/>
          <w:u w:val="single"/>
        </w:rPr>
        <w:t xml:space="preserve">Proposal </w:t>
      </w:r>
      <w:r w:rsidR="000654FB">
        <w:rPr>
          <w:b/>
          <w:i/>
          <w:u w:val="single"/>
        </w:rPr>
        <w:t>8</w:t>
      </w:r>
      <w:r w:rsidRPr="001C381A">
        <w:rPr>
          <w:b/>
          <w:i/>
          <w:u w:val="single"/>
        </w:rPr>
        <w:t>:</w:t>
      </w:r>
      <w:r w:rsidRPr="001C381A">
        <w:rPr>
          <w:i/>
        </w:rPr>
        <w:t xml:space="preserve"> </w:t>
      </w:r>
      <w:r>
        <w:rPr>
          <w:rFonts w:eastAsia="SimSun"/>
          <w:bCs/>
          <w:i/>
          <w:szCs w:val="22"/>
        </w:rPr>
        <w:t>The size of the “second stage SCI format” field in first stage SCI is 2 bits.</w:t>
      </w:r>
    </w:p>
    <w:p w14:paraId="67C4231C" w14:textId="7E38376F" w:rsidR="00EE6E87" w:rsidRDefault="00EE6E87" w:rsidP="005F59B6">
      <w:pPr>
        <w:contextualSpacing/>
        <w:jc w:val="both"/>
        <w:rPr>
          <w:rFonts w:eastAsia="SimSun"/>
          <w:bCs/>
          <w:i/>
          <w:szCs w:val="22"/>
        </w:rPr>
      </w:pPr>
    </w:p>
    <w:p w14:paraId="67E29C4E" w14:textId="42EEFEE8" w:rsidR="00FD0B37" w:rsidRDefault="009D0509" w:rsidP="009D0509">
      <w:pPr>
        <w:contextualSpacing/>
        <w:jc w:val="both"/>
      </w:pPr>
      <w:r w:rsidRPr="009D0509">
        <w:rPr>
          <w:rFonts w:eastAsia="SimSun"/>
          <w:bCs/>
          <w:iCs/>
          <w:szCs w:val="22"/>
        </w:rPr>
        <w:t>It is working assumption</w:t>
      </w:r>
      <w:r>
        <w:rPr>
          <w:rFonts w:eastAsia="SimSun"/>
          <w:bCs/>
          <w:iCs/>
          <w:szCs w:val="22"/>
        </w:rPr>
        <w:t xml:space="preserve"> </w:t>
      </w:r>
      <w:r w:rsidR="003C2425">
        <w:rPr>
          <w:rFonts w:eastAsia="SimSun"/>
          <w:bCs/>
          <w:iCs/>
          <w:szCs w:val="22"/>
        </w:rPr>
        <w:fldChar w:fldCharType="begin"/>
      </w:r>
      <w:r w:rsidR="003C2425">
        <w:rPr>
          <w:rFonts w:eastAsia="SimSun"/>
          <w:bCs/>
          <w:iCs/>
          <w:szCs w:val="22"/>
        </w:rPr>
        <w:instrText xml:space="preserve"> REF _Ref31108368 \r \h </w:instrText>
      </w:r>
      <w:r w:rsidR="003C2425">
        <w:rPr>
          <w:rFonts w:eastAsia="SimSun"/>
          <w:bCs/>
          <w:iCs/>
          <w:szCs w:val="22"/>
        </w:rPr>
      </w:r>
      <w:r w:rsidR="003C2425">
        <w:rPr>
          <w:rFonts w:eastAsia="SimSun"/>
          <w:bCs/>
          <w:iCs/>
          <w:szCs w:val="22"/>
        </w:rPr>
        <w:fldChar w:fldCharType="separate"/>
      </w:r>
      <w:r w:rsidR="009E2E65">
        <w:rPr>
          <w:rFonts w:eastAsia="SimSun"/>
          <w:bCs/>
          <w:iCs/>
          <w:szCs w:val="22"/>
        </w:rPr>
        <w:t>[5]</w:t>
      </w:r>
      <w:r w:rsidR="003C2425">
        <w:rPr>
          <w:rFonts w:eastAsia="SimSun"/>
          <w:bCs/>
          <w:iCs/>
          <w:szCs w:val="22"/>
        </w:rPr>
        <w:fldChar w:fldCharType="end"/>
      </w:r>
      <w:r w:rsidRPr="009D0509">
        <w:rPr>
          <w:rFonts w:eastAsia="SimSun"/>
          <w:bCs/>
          <w:iCs/>
          <w:szCs w:val="22"/>
        </w:rPr>
        <w:t xml:space="preserve"> </w:t>
      </w:r>
      <w:r w:rsidRPr="009D0509">
        <w:t xml:space="preserve">that </w:t>
      </w:r>
      <w:r>
        <w:t>f</w:t>
      </w:r>
      <w:r w:rsidRPr="009D0509">
        <w:t>or groupcast and unicast when PSFCH resource is (pre-)configured in the resource pool,</w:t>
      </w:r>
      <w:r>
        <w:t xml:space="preserve"> </w:t>
      </w:r>
      <w:r w:rsidRPr="009D0509">
        <w:rPr>
          <w:rFonts w:hint="eastAsia"/>
        </w:rPr>
        <w:t>SCI</w:t>
      </w:r>
      <w:r w:rsidRPr="009D0509">
        <w:t xml:space="preserve"> explicitly indicates whether HARQ feedback is used or not for the corresponding PSSCH transmission.</w:t>
      </w:r>
      <w:r>
        <w:t xml:space="preserve"> The dynamic disabling of HARQ feedback can be achieved by adding a single bit in</w:t>
      </w:r>
      <w:r w:rsidR="00401BCB">
        <w:t xml:space="preserve"> the first format of</w:t>
      </w:r>
      <w:r>
        <w:t xml:space="preserve"> second stage SCI.</w:t>
      </w:r>
    </w:p>
    <w:p w14:paraId="178E8E16" w14:textId="77777777" w:rsidR="0065228D" w:rsidRDefault="0065228D" w:rsidP="00FD0B37">
      <w:pPr>
        <w:contextualSpacing/>
        <w:jc w:val="both"/>
      </w:pPr>
    </w:p>
    <w:p w14:paraId="2B59232C" w14:textId="01A64148" w:rsidR="0092163F" w:rsidRPr="0043134C" w:rsidRDefault="0065228D" w:rsidP="00A633B3">
      <w:pPr>
        <w:contextualSpacing/>
        <w:jc w:val="both"/>
        <w:rPr>
          <w:rFonts w:eastAsia="SimSun"/>
          <w:bCs/>
          <w:i/>
          <w:szCs w:val="22"/>
        </w:rPr>
      </w:pPr>
      <w:r w:rsidRPr="001C381A">
        <w:rPr>
          <w:b/>
          <w:i/>
          <w:u w:val="single"/>
        </w:rPr>
        <w:t xml:space="preserve">Proposal </w:t>
      </w:r>
      <w:r w:rsidR="000654FB">
        <w:rPr>
          <w:b/>
          <w:i/>
          <w:u w:val="single"/>
        </w:rPr>
        <w:t>9</w:t>
      </w:r>
      <w:r w:rsidRPr="001C381A">
        <w:rPr>
          <w:b/>
          <w:i/>
          <w:u w:val="single"/>
        </w:rPr>
        <w:t>:</w:t>
      </w:r>
      <w:r w:rsidRPr="001C381A">
        <w:rPr>
          <w:i/>
        </w:rPr>
        <w:t xml:space="preserve"> </w:t>
      </w:r>
      <w:r>
        <w:rPr>
          <w:rFonts w:eastAsia="SimSun"/>
          <w:bCs/>
          <w:i/>
          <w:szCs w:val="22"/>
        </w:rPr>
        <w:t xml:space="preserve">For </w:t>
      </w:r>
      <w:r w:rsidR="00401BCB">
        <w:rPr>
          <w:rFonts w:eastAsia="SimSun"/>
          <w:bCs/>
          <w:i/>
          <w:szCs w:val="22"/>
        </w:rPr>
        <w:t>the first format of second stage SCI</w:t>
      </w:r>
      <w:r>
        <w:rPr>
          <w:rFonts w:eastAsia="SimSun"/>
          <w:bCs/>
          <w:i/>
          <w:szCs w:val="22"/>
        </w:rPr>
        <w:t>, an additional bit is included in second stage SCI to indicate whether HARQ feedback is disabled.</w:t>
      </w:r>
    </w:p>
    <w:p w14:paraId="499EB114" w14:textId="7E715459" w:rsidR="0043134C" w:rsidRDefault="0043134C" w:rsidP="00A633B3">
      <w:pPr>
        <w:jc w:val="both"/>
        <w:rPr>
          <w:rFonts w:eastAsia="SimSun"/>
          <w:bCs/>
          <w:iCs/>
        </w:rPr>
      </w:pPr>
    </w:p>
    <w:p w14:paraId="5CBDE5EC" w14:textId="5A4D1271" w:rsidR="00752A24" w:rsidRDefault="00752A24" w:rsidP="00A633B3">
      <w:pPr>
        <w:jc w:val="both"/>
        <w:rPr>
          <w:rFonts w:eastAsia="SimSun"/>
          <w:bCs/>
          <w:iCs/>
        </w:rPr>
      </w:pPr>
      <w:r>
        <w:rPr>
          <w:rFonts w:eastAsia="SimSun"/>
          <w:bCs/>
          <w:iCs/>
        </w:rPr>
        <w:t xml:space="preserve">The first format of second stage SCI is used for groupcast option 2 and unicast with feedback. The PSFCH resource determination schemes are different for these two cast types. The PSFCH resource </w:t>
      </w:r>
      <w:r>
        <w:rPr>
          <w:rFonts w:eastAsia="SimSun"/>
          <w:bCs/>
          <w:iCs/>
        </w:rPr>
        <w:lastRenderedPageBreak/>
        <w:t xml:space="preserve">for unicast is determined only by layer 1 source ID, while the PSFCH resource for groupcast option 2 is determined by both layer 1 source ID and group member ID. Hence, it is necessary to indicate the PSFCH resource determination scheme if HARQ feedback is enabled. </w:t>
      </w:r>
    </w:p>
    <w:p w14:paraId="050B8B24" w14:textId="77777777" w:rsidR="00752A24" w:rsidRDefault="00752A24" w:rsidP="00A633B3">
      <w:pPr>
        <w:jc w:val="both"/>
        <w:rPr>
          <w:rFonts w:eastAsia="SimSun"/>
          <w:bCs/>
          <w:iCs/>
        </w:rPr>
      </w:pPr>
    </w:p>
    <w:p w14:paraId="23AB8E79" w14:textId="03984F75" w:rsidR="00752A24" w:rsidRDefault="00752A24" w:rsidP="00A633B3">
      <w:pPr>
        <w:jc w:val="both"/>
        <w:rPr>
          <w:rFonts w:eastAsia="SimSun"/>
          <w:bCs/>
          <w:i/>
          <w:szCs w:val="22"/>
        </w:rPr>
      </w:pPr>
      <w:r w:rsidRPr="001C381A">
        <w:rPr>
          <w:b/>
          <w:i/>
          <w:u w:val="single"/>
        </w:rPr>
        <w:t xml:space="preserve">Proposal </w:t>
      </w:r>
      <w:r>
        <w:rPr>
          <w:b/>
          <w:i/>
          <w:u w:val="single"/>
        </w:rPr>
        <w:t>1</w:t>
      </w:r>
      <w:r w:rsidR="000654FB">
        <w:rPr>
          <w:b/>
          <w:i/>
          <w:u w:val="single"/>
        </w:rPr>
        <w:t>0</w:t>
      </w:r>
      <w:r w:rsidRPr="001C381A">
        <w:rPr>
          <w:b/>
          <w:i/>
          <w:u w:val="single"/>
        </w:rPr>
        <w:t>:</w:t>
      </w:r>
      <w:r w:rsidRPr="001C381A">
        <w:rPr>
          <w:i/>
        </w:rPr>
        <w:t xml:space="preserve"> </w:t>
      </w:r>
      <w:r>
        <w:rPr>
          <w:rFonts w:eastAsia="SimSun"/>
          <w:bCs/>
          <w:i/>
          <w:szCs w:val="22"/>
        </w:rPr>
        <w:t xml:space="preserve">For the first format of second stage SCI, an additional bit is included in second stage SCI to indicate PSFCH resource determination scheme. </w:t>
      </w:r>
    </w:p>
    <w:p w14:paraId="72E54AC9" w14:textId="77777777" w:rsidR="0005168C" w:rsidRPr="00752A24" w:rsidRDefault="0005168C" w:rsidP="00A633B3">
      <w:pPr>
        <w:jc w:val="both"/>
        <w:rPr>
          <w:rFonts w:eastAsia="SimSun"/>
          <w:bCs/>
          <w:i/>
          <w:szCs w:val="22"/>
        </w:rPr>
      </w:pPr>
    </w:p>
    <w:p w14:paraId="74C83E71" w14:textId="49756FAA" w:rsidR="00A90BC1" w:rsidRDefault="0043134C" w:rsidP="00A633B3">
      <w:pPr>
        <w:jc w:val="both"/>
        <w:rPr>
          <w:rFonts w:eastAsia="SimSun"/>
          <w:bCs/>
          <w:iCs/>
        </w:rPr>
      </w:pPr>
      <w:r>
        <w:rPr>
          <w:rFonts w:eastAsia="SimSun"/>
          <w:bCs/>
          <w:iCs/>
        </w:rPr>
        <w:t xml:space="preserve">It </w:t>
      </w:r>
      <w:r w:rsidR="0025734A">
        <w:rPr>
          <w:rFonts w:eastAsia="SimSun"/>
          <w:bCs/>
          <w:iCs/>
        </w:rPr>
        <w:t>wa</w:t>
      </w:r>
      <w:r>
        <w:rPr>
          <w:rFonts w:eastAsia="SimSun"/>
          <w:bCs/>
          <w:iCs/>
        </w:rPr>
        <w:t xml:space="preserve">s agreed </w:t>
      </w:r>
      <w:r w:rsidR="006E665B">
        <w:rPr>
          <w:rFonts w:eastAsia="SimSun"/>
          <w:bCs/>
          <w:iCs/>
        </w:rPr>
        <w:fldChar w:fldCharType="begin"/>
      </w:r>
      <w:r w:rsidR="006E665B">
        <w:rPr>
          <w:rFonts w:eastAsia="SimSun"/>
          <w:bCs/>
          <w:iCs/>
        </w:rPr>
        <w:instrText xml:space="preserve"> REF _Ref34832867 \r \h </w:instrText>
      </w:r>
      <w:r w:rsidR="006E665B">
        <w:rPr>
          <w:rFonts w:eastAsia="SimSun"/>
          <w:bCs/>
          <w:iCs/>
        </w:rPr>
      </w:r>
      <w:r w:rsidR="006E665B">
        <w:rPr>
          <w:rFonts w:eastAsia="SimSun"/>
          <w:bCs/>
          <w:iCs/>
        </w:rPr>
        <w:fldChar w:fldCharType="separate"/>
      </w:r>
      <w:r w:rsidR="009E2E65">
        <w:rPr>
          <w:rFonts w:eastAsia="SimSun"/>
          <w:bCs/>
          <w:iCs/>
        </w:rPr>
        <w:t>[6]</w:t>
      </w:r>
      <w:r w:rsidR="006E665B">
        <w:rPr>
          <w:rFonts w:eastAsia="SimSun"/>
          <w:bCs/>
          <w:iCs/>
        </w:rPr>
        <w:fldChar w:fldCharType="end"/>
      </w:r>
      <w:r w:rsidR="006E665B">
        <w:rPr>
          <w:rFonts w:eastAsia="SimSun"/>
          <w:bCs/>
          <w:iCs/>
        </w:rPr>
        <w:t xml:space="preserve"> </w:t>
      </w:r>
      <w:r>
        <w:rPr>
          <w:rFonts w:eastAsia="SimSun"/>
          <w:bCs/>
          <w:iCs/>
        </w:rPr>
        <w:t>that the polar coding used for PDCCH is applied to the second stage SCI. The CRC length of second stage SCI is still open. In our view, the CRC length of second stage SCI should be 24 bits, same as CRC length of PDCCH. The 24-bit CRC polynomial is designed to support the early termination functionality of polar decoding, which is important for UE</w:t>
      </w:r>
      <w:r w:rsidR="0025734A">
        <w:rPr>
          <w:rFonts w:eastAsia="SimSun"/>
          <w:bCs/>
          <w:iCs/>
        </w:rPr>
        <w:t>s</w:t>
      </w:r>
      <w:r>
        <w:rPr>
          <w:rFonts w:eastAsia="SimSun"/>
          <w:bCs/>
          <w:iCs/>
        </w:rPr>
        <w:t xml:space="preserve"> with limited processing capability and power. In sidelink, the same polar decoding early termination should be applied at </w:t>
      </w:r>
      <w:r w:rsidR="0025734A">
        <w:rPr>
          <w:rFonts w:eastAsia="SimSun"/>
          <w:bCs/>
          <w:iCs/>
        </w:rPr>
        <w:t>receiver</w:t>
      </w:r>
      <w:r>
        <w:rPr>
          <w:rFonts w:eastAsia="SimSun"/>
          <w:bCs/>
          <w:iCs/>
        </w:rPr>
        <w:t xml:space="preserve"> UE to save processing time and power. </w:t>
      </w:r>
    </w:p>
    <w:p w14:paraId="2F2A21DA" w14:textId="77777777" w:rsidR="00A90BC1" w:rsidRDefault="00A90BC1" w:rsidP="00A633B3">
      <w:pPr>
        <w:jc w:val="both"/>
        <w:rPr>
          <w:rFonts w:eastAsia="SimSun"/>
          <w:bCs/>
          <w:iCs/>
        </w:rPr>
      </w:pPr>
    </w:p>
    <w:p w14:paraId="75155C68" w14:textId="7D923C00" w:rsidR="0043134C" w:rsidRDefault="0043134C" w:rsidP="00A633B3">
      <w:pPr>
        <w:jc w:val="both"/>
        <w:rPr>
          <w:rFonts w:eastAsia="SimSun"/>
          <w:bCs/>
          <w:iCs/>
        </w:rPr>
      </w:pPr>
      <w:r>
        <w:rPr>
          <w:rFonts w:eastAsia="SimSun"/>
          <w:bCs/>
          <w:iCs/>
        </w:rPr>
        <w:t xml:space="preserve">It was proposed by some companies to use a shorter CRC length for second stage SCI to reduce overhead. However, the payload size of second stage SCI is more than 30 bits </w:t>
      </w:r>
      <w:r w:rsidR="00A90BC1">
        <w:rPr>
          <w:rFonts w:eastAsia="SimSun"/>
          <w:bCs/>
          <w:iCs/>
        </w:rPr>
        <w:t>based on</w:t>
      </w:r>
      <w:r>
        <w:rPr>
          <w:rFonts w:eastAsia="SimSun"/>
          <w:bCs/>
          <w:iCs/>
        </w:rPr>
        <w:t xml:space="preserve"> </w:t>
      </w:r>
      <w:r>
        <w:rPr>
          <w:rFonts w:eastAsia="SimSun"/>
          <w:bCs/>
          <w:iCs/>
        </w:rPr>
        <w:fldChar w:fldCharType="begin"/>
      </w:r>
      <w:r>
        <w:rPr>
          <w:rFonts w:eastAsia="SimSun"/>
          <w:bCs/>
          <w:iCs/>
        </w:rPr>
        <w:instrText xml:space="preserve"> REF _Ref34823478 \h </w:instrText>
      </w:r>
      <w:r>
        <w:rPr>
          <w:rFonts w:eastAsia="SimSun"/>
          <w:bCs/>
          <w:iCs/>
        </w:rPr>
      </w:r>
      <w:r>
        <w:rPr>
          <w:rFonts w:eastAsia="SimSun"/>
          <w:bCs/>
          <w:iCs/>
        </w:rPr>
        <w:fldChar w:fldCharType="separate"/>
      </w:r>
      <w:r w:rsidR="009E2E65">
        <w:t xml:space="preserve">Table </w:t>
      </w:r>
      <w:r w:rsidR="009E2E65">
        <w:rPr>
          <w:noProof/>
        </w:rPr>
        <w:t>1</w:t>
      </w:r>
      <w:r>
        <w:rPr>
          <w:rFonts w:eastAsia="SimSun"/>
          <w:bCs/>
          <w:iCs/>
        </w:rPr>
        <w:fldChar w:fldCharType="end"/>
      </w:r>
      <w:r>
        <w:rPr>
          <w:rFonts w:eastAsia="SimSun"/>
          <w:bCs/>
          <w:iCs/>
        </w:rPr>
        <w:t xml:space="preserve">, which is similar to </w:t>
      </w:r>
      <w:r w:rsidR="00A90BC1">
        <w:rPr>
          <w:rFonts w:eastAsia="SimSun"/>
          <w:bCs/>
          <w:iCs/>
        </w:rPr>
        <w:t xml:space="preserve">fallback DCI payload size. Since a fallback DCI uses 24-bit CRC, we think the same CRC length is applicable to second stage SCI. </w:t>
      </w:r>
      <w:r>
        <w:rPr>
          <w:rFonts w:eastAsia="SimSun"/>
          <w:bCs/>
          <w:iCs/>
        </w:rPr>
        <w:t xml:space="preserve"> </w:t>
      </w:r>
    </w:p>
    <w:p w14:paraId="17E49B29" w14:textId="77777777" w:rsidR="0043134C" w:rsidRPr="0043134C" w:rsidRDefault="0043134C" w:rsidP="00A633B3">
      <w:pPr>
        <w:jc w:val="both"/>
        <w:rPr>
          <w:rFonts w:eastAsia="SimSun"/>
          <w:bCs/>
          <w:iCs/>
        </w:rPr>
      </w:pPr>
    </w:p>
    <w:p w14:paraId="35BDB901" w14:textId="6FCD9520" w:rsidR="0043134C" w:rsidRDefault="0043134C" w:rsidP="00A633B3">
      <w:pPr>
        <w:jc w:val="both"/>
        <w:rPr>
          <w:rFonts w:eastAsia="SimSun"/>
          <w:bCs/>
          <w:i/>
          <w:szCs w:val="22"/>
        </w:rPr>
      </w:pPr>
      <w:r w:rsidRPr="001C381A">
        <w:rPr>
          <w:b/>
          <w:i/>
          <w:u w:val="single"/>
        </w:rPr>
        <w:t xml:space="preserve">Proposal </w:t>
      </w:r>
      <w:r>
        <w:rPr>
          <w:b/>
          <w:i/>
          <w:u w:val="single"/>
        </w:rPr>
        <w:t>1</w:t>
      </w:r>
      <w:r w:rsidR="000654FB">
        <w:rPr>
          <w:b/>
          <w:i/>
          <w:u w:val="single"/>
        </w:rPr>
        <w:t>1</w:t>
      </w:r>
      <w:r w:rsidRPr="001C381A">
        <w:rPr>
          <w:b/>
          <w:i/>
          <w:u w:val="single"/>
        </w:rPr>
        <w:t>:</w:t>
      </w:r>
      <w:r w:rsidRPr="001C381A">
        <w:rPr>
          <w:i/>
        </w:rPr>
        <w:t xml:space="preserve"> </w:t>
      </w:r>
      <w:r>
        <w:rPr>
          <w:rFonts w:eastAsia="SimSun"/>
          <w:bCs/>
          <w:i/>
          <w:szCs w:val="22"/>
        </w:rPr>
        <w:t>CRC length of second stage SCI is 24 bits.</w:t>
      </w:r>
    </w:p>
    <w:p w14:paraId="7E30EE18" w14:textId="1F4C602F" w:rsidR="0043134C" w:rsidRPr="00A633B3" w:rsidRDefault="00A90BC1" w:rsidP="00A633B3">
      <w:pPr>
        <w:jc w:val="both"/>
        <w:rPr>
          <w:rFonts w:eastAsia="SimSun"/>
          <w:bCs/>
          <w:i/>
        </w:rPr>
      </w:pPr>
      <w:r>
        <w:rPr>
          <w:rFonts w:eastAsia="SimSun"/>
          <w:bCs/>
          <w:i/>
        </w:rPr>
        <w:t xml:space="preserve">                                                                           </w:t>
      </w:r>
    </w:p>
    <w:p w14:paraId="7EE19CC4" w14:textId="2BE7676F" w:rsidR="0040523C" w:rsidRDefault="0040523C" w:rsidP="00EE6E87">
      <w:pPr>
        <w:pStyle w:val="Heading2"/>
      </w:pPr>
      <w:r>
        <w:t>MCS Table</w:t>
      </w:r>
    </w:p>
    <w:p w14:paraId="161475DB" w14:textId="2C867443" w:rsidR="009F636A" w:rsidRPr="003C2425" w:rsidRDefault="009F636A" w:rsidP="00E61AD7">
      <w:pPr>
        <w:jc w:val="both"/>
      </w:pPr>
      <w:r w:rsidRPr="003C2425">
        <w:t xml:space="preserve">It was agreed </w:t>
      </w:r>
      <w:r w:rsidR="00B00EEA">
        <w:fldChar w:fldCharType="begin"/>
      </w:r>
      <w:r w:rsidR="00B00EEA">
        <w:instrText xml:space="preserve"> REF _Ref31108368 \r \h </w:instrText>
      </w:r>
      <w:r w:rsidR="00B00EEA">
        <w:fldChar w:fldCharType="separate"/>
      </w:r>
      <w:r w:rsidR="009E2E65">
        <w:t>[5]</w:t>
      </w:r>
      <w:r w:rsidR="00B00EEA">
        <w:fldChar w:fldCharType="end"/>
      </w:r>
      <w:r w:rsidRPr="003C2425">
        <w:t xml:space="preserve"> to support all three MCS tables for Rel-15 NR </w:t>
      </w:r>
      <w:proofErr w:type="spellStart"/>
      <w:r w:rsidRPr="003C2425">
        <w:t>Uu</w:t>
      </w:r>
      <w:proofErr w:type="spellEnd"/>
      <w:r w:rsidRPr="003C2425">
        <w:t xml:space="preserve"> CP-OFDM for NR V2X sidelink. The support of the low-spectral efficiency 64QAM MCS table</w:t>
      </w:r>
      <w:r w:rsidR="00B00EEA">
        <w:t xml:space="preserve"> in sidelink</w:t>
      </w:r>
      <w:r w:rsidRPr="003C2425">
        <w:t xml:space="preserve"> is </w:t>
      </w:r>
      <w:r w:rsidR="00B00EEA">
        <w:t xml:space="preserve">an </w:t>
      </w:r>
      <w:r w:rsidRPr="003C2425">
        <w:t>optional</w:t>
      </w:r>
      <w:r w:rsidR="00B00EEA">
        <w:t xml:space="preserve"> UE feature</w:t>
      </w:r>
      <w:r w:rsidRPr="003C2425">
        <w:t xml:space="preserve">, as in the </w:t>
      </w:r>
      <w:proofErr w:type="spellStart"/>
      <w:r w:rsidRPr="003C2425">
        <w:t>Uu</w:t>
      </w:r>
      <w:proofErr w:type="spellEnd"/>
      <w:r w:rsidRPr="003C2425">
        <w:t xml:space="preserve"> link. The support of 256QAM from the transmitter perspective is based on UE capability. It is open whether the support of 256QAM from the receiver perspective is mandatory or based on UE capability. </w:t>
      </w:r>
    </w:p>
    <w:p w14:paraId="500D9D13" w14:textId="2ADDA71E" w:rsidR="009F636A" w:rsidRPr="003C2425" w:rsidRDefault="009F636A" w:rsidP="00E61AD7">
      <w:pPr>
        <w:jc w:val="both"/>
      </w:pPr>
    </w:p>
    <w:p w14:paraId="5C3DE97B" w14:textId="509692B7" w:rsidR="00F61B9D" w:rsidRPr="003C2425" w:rsidRDefault="005F1793" w:rsidP="00E61AD7">
      <w:pPr>
        <w:jc w:val="both"/>
      </w:pPr>
      <w:r w:rsidRPr="003C2425">
        <w:t xml:space="preserve">In </w:t>
      </w:r>
      <w:r w:rsidR="009F636A" w:rsidRPr="003C2425">
        <w:t xml:space="preserve">Rel-15 </w:t>
      </w:r>
      <w:r w:rsidRPr="003C2425">
        <w:t xml:space="preserve">NR </w:t>
      </w:r>
      <w:proofErr w:type="spellStart"/>
      <w:r w:rsidRPr="003C2425">
        <w:t>Uu</w:t>
      </w:r>
      <w:proofErr w:type="spellEnd"/>
      <w:r w:rsidRPr="003C2425">
        <w:t xml:space="preserve"> link</w:t>
      </w:r>
      <w:r w:rsidR="006E665B">
        <w:t xml:space="preserve"> </w:t>
      </w:r>
      <w:r w:rsidR="006E665B">
        <w:fldChar w:fldCharType="begin"/>
      </w:r>
      <w:r w:rsidR="006E665B">
        <w:instrText xml:space="preserve"> REF _Ref34832836 \r \h </w:instrText>
      </w:r>
      <w:r w:rsidR="006E665B">
        <w:fldChar w:fldCharType="separate"/>
      </w:r>
      <w:r w:rsidR="009E2E65">
        <w:t>[7]</w:t>
      </w:r>
      <w:r w:rsidR="006E665B">
        <w:fldChar w:fldCharType="end"/>
      </w:r>
      <w:r w:rsidRPr="003C2425">
        <w:t xml:space="preserve">, </w:t>
      </w:r>
      <w:r w:rsidR="00136936" w:rsidRPr="003C2425">
        <w:t>the</w:t>
      </w:r>
      <w:r w:rsidR="00136936">
        <w:t xml:space="preserve"> support of</w:t>
      </w:r>
      <w:r w:rsidR="00136936" w:rsidRPr="003C2425">
        <w:t xml:space="preserve"> 256QAM is mandatory for PDSCH in </w:t>
      </w:r>
      <w:proofErr w:type="gramStart"/>
      <w:r w:rsidR="00136936" w:rsidRPr="003C2425">
        <w:t>FR1</w:t>
      </w:r>
      <w:r w:rsidR="00136936">
        <w:t>,</w:t>
      </w:r>
      <w:r w:rsidR="00136936" w:rsidRPr="003C2425">
        <w:t xml:space="preserve"> but</w:t>
      </w:r>
      <w:proofErr w:type="gramEnd"/>
      <w:r w:rsidR="00136936" w:rsidRPr="003C2425">
        <w:t xml:space="preserve"> </w:t>
      </w:r>
      <w:r w:rsidR="00136936">
        <w:t xml:space="preserve">is </w:t>
      </w:r>
      <w:r w:rsidR="00136936" w:rsidRPr="003C2425">
        <w:t xml:space="preserve">optional for PDSCH in FR2. </w:t>
      </w:r>
      <w:r w:rsidR="00136936">
        <w:t xml:space="preserve">Since the support of 256QAM is optional for PUSCH, </w:t>
      </w:r>
      <w:r w:rsidR="00136936" w:rsidRPr="003C2425">
        <w:t xml:space="preserve">the </w:t>
      </w:r>
      <w:r w:rsidR="00136936">
        <w:t xml:space="preserve">overall </w:t>
      </w:r>
      <w:r w:rsidR="00136936" w:rsidRPr="003C2425">
        <w:t>support of 256QAM is optional</w:t>
      </w:r>
      <w:r w:rsidR="00136936">
        <w:t xml:space="preserve"> in FR2</w:t>
      </w:r>
      <w:r w:rsidR="00136936" w:rsidRPr="003C2425">
        <w:t xml:space="preserve"> based on UE capability. In our view, it is natural to extend this UE capability to NR V2X sidelink, i.e., the support of 256QAM</w:t>
      </w:r>
      <w:r w:rsidR="00136936">
        <w:t xml:space="preserve"> sidelink reception</w:t>
      </w:r>
      <w:r w:rsidR="00136936" w:rsidRPr="003C2425">
        <w:t xml:space="preserve"> in FR2 is optional based on UE capability.</w:t>
      </w:r>
    </w:p>
    <w:p w14:paraId="127BA31B" w14:textId="77777777" w:rsidR="00F61B9D" w:rsidRPr="003C2425" w:rsidRDefault="00F61B9D" w:rsidP="00E61AD7">
      <w:pPr>
        <w:jc w:val="both"/>
      </w:pPr>
    </w:p>
    <w:p w14:paraId="4E37D6C8" w14:textId="2FFF37A0" w:rsidR="005F1793" w:rsidRPr="003C2425" w:rsidRDefault="009F636A" w:rsidP="00F61B9D">
      <w:pPr>
        <w:jc w:val="both"/>
      </w:pPr>
      <w:r w:rsidRPr="003C2425">
        <w:t xml:space="preserve">Since NR V2X sidelink targets a </w:t>
      </w:r>
      <w:r w:rsidR="002F0BCE" w:rsidRPr="003C2425">
        <w:t>common</w:t>
      </w:r>
      <w:r w:rsidRPr="003C2425">
        <w:t xml:space="preserve"> design for FR1 and FR2, it is preferred to</w:t>
      </w:r>
      <w:r w:rsidR="00136936">
        <w:t xml:space="preserve"> optionally</w:t>
      </w:r>
      <w:r w:rsidRPr="003C2425">
        <w:t xml:space="preserve"> </w:t>
      </w:r>
      <w:r w:rsidR="00F61B9D" w:rsidRPr="003C2425">
        <w:t xml:space="preserve">support 256QAM </w:t>
      </w:r>
      <w:r w:rsidR="00136936">
        <w:t xml:space="preserve">sidelink reception </w:t>
      </w:r>
      <w:r w:rsidR="00F61B9D" w:rsidRPr="003C2425">
        <w:t xml:space="preserve">in both FR1 and FR2 based on UE capability. </w:t>
      </w:r>
    </w:p>
    <w:p w14:paraId="560B29D7" w14:textId="77777777" w:rsidR="005F1793" w:rsidRPr="003C2425" w:rsidRDefault="005F1793" w:rsidP="005F1793"/>
    <w:p w14:paraId="72AE306B" w14:textId="00BCF591" w:rsidR="0040523C" w:rsidRPr="003C2425" w:rsidRDefault="0040523C" w:rsidP="0040523C">
      <w:pPr>
        <w:jc w:val="both"/>
        <w:rPr>
          <w:i/>
        </w:rPr>
      </w:pPr>
      <w:r w:rsidRPr="003C2425">
        <w:rPr>
          <w:b/>
          <w:i/>
          <w:u w:val="single"/>
        </w:rPr>
        <w:t xml:space="preserve">Proposal </w:t>
      </w:r>
      <w:r w:rsidR="000654FB">
        <w:rPr>
          <w:b/>
          <w:i/>
          <w:u w:val="single"/>
        </w:rPr>
        <w:t>12</w:t>
      </w:r>
      <w:r w:rsidRPr="003C2425">
        <w:rPr>
          <w:b/>
          <w:i/>
          <w:u w:val="single"/>
        </w:rPr>
        <w:t>:</w:t>
      </w:r>
      <w:r w:rsidRPr="003C2425">
        <w:rPr>
          <w:i/>
        </w:rPr>
        <w:t xml:space="preserve"> Support of 256QAM by a UE</w:t>
      </w:r>
      <w:r w:rsidR="002F0BCE" w:rsidRPr="003C2425">
        <w:rPr>
          <w:i/>
        </w:rPr>
        <w:t xml:space="preserve"> from the receiver perspective</w:t>
      </w:r>
      <w:r w:rsidRPr="003C2425">
        <w:rPr>
          <w:i/>
        </w:rPr>
        <w:t xml:space="preserve"> is based on UE capability.</w:t>
      </w:r>
    </w:p>
    <w:p w14:paraId="0AD29C42" w14:textId="77777777" w:rsidR="00F61B9D" w:rsidRPr="00EE6E87" w:rsidRDefault="00F61B9D" w:rsidP="0040523C">
      <w:pPr>
        <w:jc w:val="both"/>
        <w:rPr>
          <w:iCs/>
          <w:highlight w:val="yellow"/>
        </w:rPr>
      </w:pPr>
    </w:p>
    <w:p w14:paraId="764E2286" w14:textId="4B5AFBA8" w:rsidR="00147001" w:rsidRPr="00B00EEA" w:rsidRDefault="005F1793" w:rsidP="00147001">
      <w:pPr>
        <w:jc w:val="both"/>
        <w:rPr>
          <w:iCs/>
        </w:rPr>
      </w:pPr>
      <w:r w:rsidRPr="00B00EEA">
        <w:rPr>
          <w:iCs/>
        </w:rPr>
        <w:t xml:space="preserve">The 256QAM MCS table is </w:t>
      </w:r>
      <w:r w:rsidR="00F60FBC" w:rsidRPr="00B00EEA">
        <w:rPr>
          <w:iCs/>
        </w:rPr>
        <w:t>targeted for</w:t>
      </w:r>
      <w:r w:rsidRPr="00B00EEA">
        <w:rPr>
          <w:iCs/>
        </w:rPr>
        <w:t xml:space="preserve"> high throughput use case</w:t>
      </w:r>
      <w:r w:rsidR="00147001" w:rsidRPr="00B00EEA">
        <w:rPr>
          <w:iCs/>
        </w:rPr>
        <w:t>s</w:t>
      </w:r>
      <w:r w:rsidR="00F60FBC" w:rsidRPr="00B00EEA">
        <w:rPr>
          <w:iCs/>
        </w:rPr>
        <w:t xml:space="preserve"> in good channel condition</w:t>
      </w:r>
      <w:r w:rsidR="00147001" w:rsidRPr="00B00EEA">
        <w:rPr>
          <w:iCs/>
        </w:rPr>
        <w:t>s</w:t>
      </w:r>
      <w:r w:rsidRPr="00B00EEA">
        <w:rPr>
          <w:iCs/>
        </w:rPr>
        <w:t xml:space="preserve">. </w:t>
      </w:r>
      <w:r w:rsidR="00F60FBC" w:rsidRPr="00B00EEA">
        <w:rPr>
          <w:iCs/>
        </w:rPr>
        <w:t xml:space="preserve">In sidelink broadcast and groupcast, it is </w:t>
      </w:r>
      <w:r w:rsidR="00147001" w:rsidRPr="00B00EEA">
        <w:rPr>
          <w:iCs/>
        </w:rPr>
        <w:t xml:space="preserve">not guaranteed that the channels from transmitter UE to </w:t>
      </w:r>
      <w:r w:rsidR="00B00EEA">
        <w:rPr>
          <w:iCs/>
        </w:rPr>
        <w:t xml:space="preserve">each </w:t>
      </w:r>
      <w:r w:rsidR="00147001" w:rsidRPr="00B00EEA">
        <w:rPr>
          <w:iCs/>
        </w:rPr>
        <w:t xml:space="preserve">receiver UE are in good condition simultaneously. Hence, the usage scenario of 256QAM MCS table is limited. </w:t>
      </w:r>
    </w:p>
    <w:p w14:paraId="1F61FCAD" w14:textId="77777777" w:rsidR="00F60FBC" w:rsidRPr="00B00EEA" w:rsidRDefault="00F60FBC" w:rsidP="0040523C">
      <w:pPr>
        <w:jc w:val="both"/>
        <w:rPr>
          <w:iCs/>
        </w:rPr>
      </w:pPr>
    </w:p>
    <w:p w14:paraId="2040EC82" w14:textId="64AAB782" w:rsidR="00671582" w:rsidRPr="00B00EEA" w:rsidRDefault="00147001" w:rsidP="0040523C">
      <w:pPr>
        <w:jc w:val="both"/>
        <w:rPr>
          <w:iCs/>
        </w:rPr>
      </w:pPr>
      <w:r w:rsidRPr="00B00EEA">
        <w:rPr>
          <w:iCs/>
        </w:rPr>
        <w:t>On the other hand, the</w:t>
      </w:r>
      <w:r w:rsidR="002F0BCE" w:rsidRPr="00B00EEA">
        <w:rPr>
          <w:iCs/>
        </w:rPr>
        <w:t xml:space="preserve"> main motivation of using the</w:t>
      </w:r>
      <w:r w:rsidRPr="00B00EEA">
        <w:rPr>
          <w:iCs/>
        </w:rPr>
        <w:t xml:space="preserve"> low-spectral efficiency 64QAM MCS table is</w:t>
      </w:r>
      <w:r w:rsidR="002F0BCE" w:rsidRPr="00B00EEA">
        <w:rPr>
          <w:iCs/>
        </w:rPr>
        <w:t xml:space="preserve"> to achieve ultra-reliable transmissions in </w:t>
      </w:r>
      <w:r w:rsidR="00671582" w:rsidRPr="00B00EEA">
        <w:rPr>
          <w:iCs/>
        </w:rPr>
        <w:t>one-shot. This is useful</w:t>
      </w:r>
      <w:r w:rsidR="002F0BCE" w:rsidRPr="00B00EEA">
        <w:rPr>
          <w:iCs/>
        </w:rPr>
        <w:t xml:space="preserve"> for</w:t>
      </w:r>
      <w:r w:rsidR="00671582" w:rsidRPr="00B00EEA">
        <w:rPr>
          <w:iCs/>
        </w:rPr>
        <w:t xml:space="preserve"> URLLC use cases. </w:t>
      </w:r>
      <w:r w:rsidR="0049472B" w:rsidRPr="00B00EEA">
        <w:rPr>
          <w:iCs/>
        </w:rPr>
        <w:t>For</w:t>
      </w:r>
      <w:r w:rsidR="00671582" w:rsidRPr="00B00EEA">
        <w:rPr>
          <w:iCs/>
        </w:rPr>
        <w:t xml:space="preserve"> </w:t>
      </w:r>
      <w:r w:rsidR="002F0BCE" w:rsidRPr="00B00EEA">
        <w:rPr>
          <w:iCs/>
        </w:rPr>
        <w:t>ultra-</w:t>
      </w:r>
      <w:r w:rsidR="00671582" w:rsidRPr="00B00EEA">
        <w:rPr>
          <w:iCs/>
        </w:rPr>
        <w:t>reliable</w:t>
      </w:r>
      <w:r w:rsidR="002F0BCE" w:rsidRPr="00B00EEA">
        <w:rPr>
          <w:iCs/>
        </w:rPr>
        <w:t xml:space="preserve"> </w:t>
      </w:r>
      <w:r w:rsidR="00671582" w:rsidRPr="00B00EEA">
        <w:rPr>
          <w:iCs/>
        </w:rPr>
        <w:t>transmission</w:t>
      </w:r>
      <w:r w:rsidR="002F0BCE" w:rsidRPr="00B00EEA">
        <w:rPr>
          <w:iCs/>
        </w:rPr>
        <w:t>s</w:t>
      </w:r>
      <w:r w:rsidR="00671582" w:rsidRPr="00B00EEA">
        <w:rPr>
          <w:iCs/>
        </w:rPr>
        <w:t xml:space="preserve">, the low-spectral efficiency 64QAM </w:t>
      </w:r>
      <w:r w:rsidR="0049472B" w:rsidRPr="00B00EEA">
        <w:rPr>
          <w:iCs/>
        </w:rPr>
        <w:t xml:space="preserve">MCS </w:t>
      </w:r>
      <w:r w:rsidR="00671582" w:rsidRPr="00B00EEA">
        <w:rPr>
          <w:iCs/>
        </w:rPr>
        <w:t xml:space="preserve">table </w:t>
      </w:r>
      <w:r w:rsidR="0049472B" w:rsidRPr="00B00EEA">
        <w:rPr>
          <w:iCs/>
        </w:rPr>
        <w:t xml:space="preserve">is </w:t>
      </w:r>
      <w:r w:rsidR="00671582" w:rsidRPr="00B00EEA">
        <w:rPr>
          <w:iCs/>
        </w:rPr>
        <w:t xml:space="preserve">used </w:t>
      </w:r>
      <w:r w:rsidR="0049472B" w:rsidRPr="00B00EEA">
        <w:rPr>
          <w:iCs/>
        </w:rPr>
        <w:t>accompanied with the low-spectral efficiency 64QAM CQI table</w:t>
      </w:r>
      <w:r w:rsidR="00591403">
        <w:rPr>
          <w:iCs/>
        </w:rPr>
        <w:t xml:space="preserve"> for a target BLER of </w:t>
      </w:r>
      <m:oMath>
        <m:r>
          <w:rPr>
            <w:rFonts w:ascii="Cambria Math" w:hAnsi="Cambria Math"/>
          </w:rPr>
          <m:t>1-</m:t>
        </m:r>
        <m:sSup>
          <m:sSupPr>
            <m:ctrlPr>
              <w:rPr>
                <w:rFonts w:ascii="Cambria Math" w:hAnsi="Cambria Math"/>
                <w:i/>
                <w:iCs/>
              </w:rPr>
            </m:ctrlPr>
          </m:sSupPr>
          <m:e>
            <m:r>
              <w:rPr>
                <w:rFonts w:ascii="Cambria Math" w:hAnsi="Cambria Math"/>
              </w:rPr>
              <m:t>10</m:t>
            </m:r>
          </m:e>
          <m:sup>
            <m:r>
              <w:rPr>
                <w:rFonts w:ascii="Cambria Math" w:hAnsi="Cambria Math"/>
              </w:rPr>
              <m:t>-5</m:t>
            </m:r>
          </m:sup>
        </m:sSup>
      </m:oMath>
      <w:r w:rsidR="00671582" w:rsidRPr="00B00EEA">
        <w:rPr>
          <w:iCs/>
        </w:rPr>
        <w:t xml:space="preserve">. In NR V2X sidelink, CQI report is only supported for sidelink unicast. This implies the usage of </w:t>
      </w:r>
      <w:r w:rsidR="002F0BCE" w:rsidRPr="00B00EEA">
        <w:rPr>
          <w:iCs/>
        </w:rPr>
        <w:t xml:space="preserve">the </w:t>
      </w:r>
      <w:r w:rsidR="00671582" w:rsidRPr="00B00EEA">
        <w:rPr>
          <w:iCs/>
        </w:rPr>
        <w:t>low-spectral efficiency 64QAM MCS table is limited to sidelink unicast.</w:t>
      </w:r>
    </w:p>
    <w:p w14:paraId="6C55B854" w14:textId="77777777" w:rsidR="008609E0" w:rsidRPr="00B00EEA" w:rsidRDefault="008609E0" w:rsidP="008609E0">
      <w:pPr>
        <w:jc w:val="both"/>
        <w:rPr>
          <w:iCs/>
        </w:rPr>
      </w:pPr>
    </w:p>
    <w:p w14:paraId="3BCA0E25" w14:textId="25B455F4" w:rsidR="008609E0" w:rsidRPr="00B00EEA" w:rsidRDefault="008609E0" w:rsidP="0040523C">
      <w:pPr>
        <w:jc w:val="both"/>
        <w:rPr>
          <w:iCs/>
        </w:rPr>
      </w:pPr>
      <w:r w:rsidRPr="00B00EEA">
        <w:rPr>
          <w:iCs/>
        </w:rPr>
        <w:t xml:space="preserve">Furthermore, the support of 256QAM </w:t>
      </w:r>
      <w:r w:rsidR="00A310AE">
        <w:rPr>
          <w:iCs/>
        </w:rPr>
        <w:t>depends on</w:t>
      </w:r>
      <w:r w:rsidRPr="00B00EEA">
        <w:rPr>
          <w:iCs/>
        </w:rPr>
        <w:t xml:space="preserve"> UE capability. The exchange of UE capability is impossible for sidelink broadcast and many sidelink groupcast</w:t>
      </w:r>
      <w:r w:rsidR="0049472B" w:rsidRPr="00B00EEA">
        <w:rPr>
          <w:iCs/>
        </w:rPr>
        <w:t xml:space="preserve"> cases</w:t>
      </w:r>
      <w:r w:rsidRPr="00B00EEA">
        <w:rPr>
          <w:iCs/>
        </w:rPr>
        <w:t xml:space="preserve">. Hence, it is inefficient to support 256QAM MCS table and low-spectral efficiency MCS table for sidelink broadcast and groupcast. </w:t>
      </w:r>
    </w:p>
    <w:p w14:paraId="60E025AA" w14:textId="77777777" w:rsidR="008609E0" w:rsidRPr="00EE6E87" w:rsidRDefault="008609E0" w:rsidP="0040523C">
      <w:pPr>
        <w:jc w:val="both"/>
        <w:rPr>
          <w:iCs/>
          <w:highlight w:val="yellow"/>
        </w:rPr>
      </w:pPr>
    </w:p>
    <w:p w14:paraId="69BB86D2" w14:textId="044EEF51" w:rsidR="00147001" w:rsidRPr="00B00EEA" w:rsidRDefault="008609E0" w:rsidP="0040523C">
      <w:pPr>
        <w:jc w:val="both"/>
        <w:rPr>
          <w:iCs/>
        </w:rPr>
      </w:pPr>
      <w:r w:rsidRPr="00B00EEA">
        <w:rPr>
          <w:b/>
          <w:i/>
        </w:rPr>
        <w:t xml:space="preserve">Observation </w:t>
      </w:r>
      <w:r w:rsidR="00071841">
        <w:rPr>
          <w:b/>
          <w:i/>
        </w:rPr>
        <w:t>1</w:t>
      </w:r>
      <w:r w:rsidRPr="00B00EEA">
        <w:rPr>
          <w:b/>
          <w:i/>
        </w:rPr>
        <w:t>:</w:t>
      </w:r>
      <w:r w:rsidRPr="00B00EEA">
        <w:rPr>
          <w:i/>
        </w:rPr>
        <w:t xml:space="preserve"> The benefit of using 256QAM MCS table and low-spectral efficiency 64QAM MCS table is unclear in sidelink broadcast and groupcast.</w:t>
      </w:r>
    </w:p>
    <w:p w14:paraId="59BC855A" w14:textId="41B544C4" w:rsidR="008609E0" w:rsidRPr="00EE6E87" w:rsidRDefault="008609E0" w:rsidP="0040523C">
      <w:pPr>
        <w:jc w:val="both"/>
        <w:rPr>
          <w:iCs/>
          <w:highlight w:val="yellow"/>
        </w:rPr>
      </w:pPr>
    </w:p>
    <w:p w14:paraId="621BEFBD" w14:textId="18F03288" w:rsidR="008609E0" w:rsidRPr="00B00EEA" w:rsidRDefault="008609E0" w:rsidP="0040523C">
      <w:pPr>
        <w:jc w:val="both"/>
        <w:rPr>
          <w:iCs/>
        </w:rPr>
      </w:pPr>
      <w:r w:rsidRPr="00B00EEA">
        <w:rPr>
          <w:iCs/>
        </w:rPr>
        <w:t xml:space="preserve">Since a resource pool is designed to support sidelink unicast, groupcast and broadcast. The only MCS table applicable to all cast-types is the legacy 64QAM MCS table. Hence, it is preferred to set the 64QAM MCS table as the default MCS table for NR V2X sidelink. The usage of 256QAM MCS table and low-spectral efficiency 64QAM MCS table is via PC5-RRC configuration for sidelink unicast. </w:t>
      </w:r>
    </w:p>
    <w:p w14:paraId="11AD156E" w14:textId="3BCEB80D" w:rsidR="005F1793" w:rsidRPr="00B00EEA" w:rsidRDefault="005F1793" w:rsidP="0040523C">
      <w:pPr>
        <w:jc w:val="both"/>
        <w:rPr>
          <w:iCs/>
        </w:rPr>
      </w:pPr>
    </w:p>
    <w:p w14:paraId="5AEA8B90" w14:textId="0EC630DD" w:rsidR="009D7C75" w:rsidRPr="003C2425" w:rsidRDefault="00671582" w:rsidP="003C2425">
      <w:pPr>
        <w:jc w:val="both"/>
        <w:rPr>
          <w:iCs/>
        </w:rPr>
      </w:pPr>
      <w:r w:rsidRPr="00B00EEA">
        <w:rPr>
          <w:b/>
          <w:i/>
          <w:u w:val="single"/>
        </w:rPr>
        <w:t xml:space="preserve">Proposal </w:t>
      </w:r>
      <w:r w:rsidR="00B00EEA">
        <w:rPr>
          <w:b/>
          <w:i/>
          <w:u w:val="single"/>
        </w:rPr>
        <w:t>1</w:t>
      </w:r>
      <w:r w:rsidR="000654FB">
        <w:rPr>
          <w:b/>
          <w:i/>
          <w:u w:val="single"/>
        </w:rPr>
        <w:t>3</w:t>
      </w:r>
      <w:r w:rsidRPr="00B00EEA">
        <w:rPr>
          <w:b/>
          <w:i/>
          <w:u w:val="single"/>
        </w:rPr>
        <w:t>:</w:t>
      </w:r>
      <w:r w:rsidRPr="00B00EEA">
        <w:rPr>
          <w:i/>
        </w:rPr>
        <w:t xml:space="preserve"> The legacy 64QAM MCS table is the default MCS table for NR V2X sidelink. The </w:t>
      </w:r>
      <w:r w:rsidR="008609E0" w:rsidRPr="00B00EEA">
        <w:rPr>
          <w:i/>
        </w:rPr>
        <w:t>usage</w:t>
      </w:r>
      <w:r w:rsidRPr="00B00EEA">
        <w:rPr>
          <w:i/>
        </w:rPr>
        <w:t xml:space="preserve"> of 256QAM MCS table or low-spectral efficiency 64QAM MCS table is via </w:t>
      </w:r>
      <w:r w:rsidR="008609E0" w:rsidRPr="00B00EEA">
        <w:rPr>
          <w:i/>
        </w:rPr>
        <w:t>PC5-RRC configuration.</w:t>
      </w:r>
    </w:p>
    <w:p w14:paraId="7C15D979" w14:textId="77777777" w:rsidR="00DC6DA7" w:rsidRPr="00DC6DA7" w:rsidRDefault="00DC6DA7" w:rsidP="00DC6DA7">
      <w:pPr>
        <w:jc w:val="both"/>
        <w:rPr>
          <w:i/>
        </w:rPr>
      </w:pPr>
    </w:p>
    <w:p w14:paraId="2896E657" w14:textId="2DF29AD0" w:rsidR="00854A60" w:rsidRPr="00A6576F" w:rsidRDefault="009C5A97" w:rsidP="00FB330B">
      <w:pPr>
        <w:pStyle w:val="Heading1"/>
      </w:pPr>
      <w:r w:rsidRPr="00A6576F">
        <w:t>Conclusion</w:t>
      </w:r>
    </w:p>
    <w:p w14:paraId="69378078" w14:textId="6CC80AAA" w:rsidR="00DC6DA7" w:rsidRPr="00BB4346" w:rsidRDefault="00A04318" w:rsidP="00BB4346">
      <w:pPr>
        <w:jc w:val="both"/>
      </w:pPr>
      <w:r>
        <w:t xml:space="preserve">In this contribution, we </w:t>
      </w:r>
      <w:r w:rsidR="003C2425">
        <w:t>discussed the remaining details on NR V2X</w:t>
      </w:r>
      <w:r>
        <w:t xml:space="preserve"> </w:t>
      </w:r>
      <w:r w:rsidRPr="005804A7">
        <w:t>physical layer structure</w:t>
      </w:r>
      <w:r>
        <w:t xml:space="preserve">. Our proposals are as follows: </w:t>
      </w:r>
    </w:p>
    <w:p w14:paraId="63C2DBF3" w14:textId="0B477946" w:rsidR="00832848" w:rsidRDefault="00832848" w:rsidP="000A1967">
      <w:pPr>
        <w:rPr>
          <w:rFonts w:eastAsia="MS Mincho"/>
          <w:sz w:val="22"/>
          <w:szCs w:val="22"/>
          <w:lang w:eastAsia="ja-JP"/>
        </w:rPr>
      </w:pPr>
    </w:p>
    <w:p w14:paraId="081D0FBB" w14:textId="77777777" w:rsidR="00144DF9" w:rsidRDefault="00144DF9" w:rsidP="00144DF9">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In sidelink TBS determination, the number of sidelink data REs is calculated by deducting overheads from the total number of REs used for sidelink transmission in a slot excluding AGC symbol and GP symbol in the end of slot. Specifically, </w:t>
      </w:r>
      <m:oMath>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PSCCH/PSSCH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PSCCH</m:t>
            </m: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SCI2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PSSCH-DMRS</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PTRS</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CSI-RS</m:t>
            </m:r>
          </m:sup>
        </m:sSubSup>
      </m:oMath>
      <w:r>
        <w:rPr>
          <w:i/>
        </w:rPr>
        <w:t>.</w:t>
      </w:r>
    </w:p>
    <w:p w14:paraId="5DF130D4" w14:textId="77777777" w:rsidR="00144DF9" w:rsidRDefault="00144DF9" w:rsidP="00144DF9">
      <w:pPr>
        <w:jc w:val="both"/>
        <w:rPr>
          <w:i/>
        </w:rPr>
      </w:pPr>
    </w:p>
    <w:p w14:paraId="08EB2231" w14:textId="77777777" w:rsidR="00144DF9" w:rsidRDefault="00144DF9" w:rsidP="00144DF9">
      <w:pPr>
        <w:jc w:val="both"/>
        <w:rPr>
          <w:i/>
        </w:rPr>
      </w:pPr>
      <w:r w:rsidRPr="001C381A">
        <w:rPr>
          <w:b/>
          <w:i/>
          <w:u w:val="single"/>
        </w:rPr>
        <w:t xml:space="preserve">Proposal </w:t>
      </w:r>
      <w:r>
        <w:rPr>
          <w:b/>
          <w:i/>
          <w:u w:val="single"/>
        </w:rPr>
        <w:t>1a</w:t>
      </w:r>
      <w:r w:rsidRPr="001C381A">
        <w:rPr>
          <w:b/>
          <w:i/>
          <w:u w:val="single"/>
        </w:rPr>
        <w:t>:</w:t>
      </w:r>
      <w:r w:rsidRPr="001C381A">
        <w:rPr>
          <w:i/>
        </w:rPr>
        <w:t xml:space="preserve"> </w:t>
      </w:r>
      <w:r>
        <w:rPr>
          <w:i/>
        </w:rPr>
        <w:t xml:space="preserve">In sidelink </w:t>
      </w:r>
      <w:r w:rsidRPr="00F0142B">
        <w:rPr>
          <w:i/>
        </w:rPr>
        <w:t>TBS determination</w:t>
      </w:r>
      <w:r>
        <w:rPr>
          <w:i/>
        </w:rPr>
        <w:t xml:space="preserve">, the PSFCH overhead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PSFCH</m:t>
            </m:r>
          </m:sup>
        </m:sSubSup>
      </m:oMath>
      <w:r>
        <w:rPr>
          <w:i/>
        </w:rPr>
        <w:t xml:space="preserve"> is calculated by setting the reference number of PSFCH symbols (including GP symbol before PSFCH)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rPr>
          <w:i/>
        </w:rPr>
        <w:t xml:space="preserve"> as 3 if PSFCH periodicity is 1 slot; 0 if PSFCH periodicity is 0 slot; a (pre)configured value of resource pool if PSFCH periodicity is 2 or 4 slots.</w:t>
      </w:r>
    </w:p>
    <w:p w14:paraId="3F8B57DD" w14:textId="77777777" w:rsidR="00144DF9" w:rsidRDefault="00144DF9" w:rsidP="00144DF9">
      <w:pPr>
        <w:jc w:val="both"/>
        <w:rPr>
          <w:i/>
        </w:rPr>
      </w:pPr>
    </w:p>
    <w:p w14:paraId="5FB69D9D" w14:textId="77777777" w:rsidR="00144DF9" w:rsidRPr="0032739A" w:rsidRDefault="00144DF9" w:rsidP="00144DF9">
      <w:pPr>
        <w:jc w:val="both"/>
        <w:rPr>
          <w:i/>
        </w:rPr>
      </w:pPr>
      <w:r w:rsidRPr="001C381A">
        <w:rPr>
          <w:b/>
          <w:i/>
          <w:u w:val="single"/>
        </w:rPr>
        <w:t xml:space="preserve">Proposal </w:t>
      </w:r>
      <w:r>
        <w:rPr>
          <w:b/>
          <w:i/>
          <w:u w:val="single"/>
        </w:rPr>
        <w:t>1b</w:t>
      </w:r>
      <w:r w:rsidRPr="001C381A">
        <w:rPr>
          <w:b/>
          <w:i/>
          <w:u w:val="single"/>
        </w:rPr>
        <w:t>:</w:t>
      </w:r>
      <w:r w:rsidRPr="001C381A">
        <w:rPr>
          <w:i/>
        </w:rPr>
        <w:t xml:space="preserve"> </w:t>
      </w:r>
      <w:r>
        <w:rPr>
          <w:i/>
        </w:rPr>
        <w:t xml:space="preserve">In sidelink </w:t>
      </w:r>
      <w:r w:rsidRPr="00F0142B">
        <w:rPr>
          <w:i/>
        </w:rPr>
        <w:t>TBS determination</w:t>
      </w:r>
      <w:r>
        <w:rPr>
          <w:i/>
        </w:rPr>
        <w:t xml:space="preserve">, the second stage SCI overhead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SCI2</m:t>
            </m:r>
          </m:sup>
        </m:sSubSup>
      </m:oMath>
      <w:r>
        <w:rPr>
          <w:i/>
        </w:rPr>
        <w:t xml:space="preserve"> is calculated by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SCI2</m:t>
            </m:r>
          </m:sup>
        </m:sSubSup>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SCI2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SCI2</m:t>
                                </m:r>
                              </m:sub>
                            </m:sSub>
                          </m:e>
                        </m:d>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SCI2</m:t>
                            </m:r>
                          </m:sup>
                        </m:sSubSup>
                      </m:num>
                      <m:den>
                        <m:r>
                          <w:rPr>
                            <w:rFonts w:ascii="Cambria Math" w:hAnsi="Cambria Math"/>
                          </w:rPr>
                          <m:t>2⋅R</m:t>
                        </m:r>
                      </m:den>
                    </m:f>
                  </m:e>
                </m:d>
                <m:r>
                  <w:rPr>
                    <w:rFonts w:ascii="Cambria Math" w:hAnsi="Cambria Math"/>
                  </w:rPr>
                  <m:t>,</m:t>
                </m:r>
                <m:d>
                  <m:dPr>
                    <m:begChr m:val="⌈"/>
                    <m:endChr m:val="⌉"/>
                    <m:ctrlPr>
                      <w:rPr>
                        <w:rFonts w:ascii="Cambria Math" w:hAnsi="Cambria Math"/>
                        <w:i/>
                      </w:rPr>
                    </m:ctrlPr>
                  </m:dPr>
                  <m:e>
                    <m:r>
                      <w:rPr>
                        <w:rFonts w:ascii="Cambria Math" w:hAnsi="Cambria Math"/>
                      </w:rPr>
                      <m:t>α⋅</m:t>
                    </m:r>
                    <m:nary>
                      <m:naryPr>
                        <m:chr m:val="∑"/>
                        <m:limLoc m:val="subSup"/>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SCI2</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SCI2</m:t>
                            </m:r>
                          </m:sup>
                        </m:sSubSup>
                        <m:d>
                          <m:dPr>
                            <m:ctrlPr>
                              <w:rPr>
                                <w:rFonts w:ascii="Cambria Math" w:hAnsi="Cambria Math"/>
                                <w:i/>
                              </w:rPr>
                            </m:ctrlPr>
                          </m:dPr>
                          <m:e>
                            <m:r>
                              <w:rPr>
                                <w:rFonts w:ascii="Cambria Math" w:hAnsi="Cambria Math"/>
                              </w:rPr>
                              <m:t>l</m:t>
                            </m:r>
                          </m:e>
                        </m:d>
                      </m:e>
                    </m:nary>
                  </m:e>
                </m:d>
              </m:e>
            </m:d>
          </m:e>
        </m:func>
      </m:oMath>
      <w:r w:rsidRPr="0032739A">
        <w:rPr>
          <w:i/>
          <w:iCs/>
        </w:rPr>
        <w:t>, where</w:t>
      </w:r>
      <w:r>
        <w:rPr>
          <w:i/>
          <w:iCs/>
        </w:rPr>
        <w:t xml:space="preserve"> the second stage SCI payload size </w:t>
      </w:r>
      <m:oMath>
        <m:sSub>
          <m:sSubPr>
            <m:ctrlPr>
              <w:rPr>
                <w:rFonts w:ascii="Cambria Math" w:hAnsi="Cambria Math"/>
                <w:i/>
                <w:iCs/>
              </w:rPr>
            </m:ctrlPr>
          </m:sSubPr>
          <m:e>
            <m:r>
              <w:rPr>
                <w:rFonts w:ascii="Cambria Math" w:hAnsi="Cambria Math"/>
              </w:rPr>
              <m:t>O</m:t>
            </m:r>
          </m:e>
          <m:sub>
            <m:r>
              <w:rPr>
                <w:rFonts w:ascii="Cambria Math" w:hAnsi="Cambria Math"/>
              </w:rPr>
              <m:t>SCI2</m:t>
            </m:r>
          </m:sub>
        </m:sSub>
      </m:oMath>
      <w:r>
        <w:rPr>
          <w:i/>
          <w:iCs/>
        </w:rPr>
        <w:t xml:space="preserve"> is indicated by the first stage SCI, the number of allowed second stage SCI symbols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SCI2</m:t>
            </m:r>
          </m:sup>
        </m:sSubSup>
      </m:oMath>
      <w:r>
        <w:rPr>
          <w:i/>
        </w:rPr>
        <w:t xml:space="preserve"> is equal to the (pre)configured number of symbols used for sidelink in a slot minus AGC symbol, GP symbol in the end of slot, and the reference number of PSFCH symbols</w:t>
      </w:r>
      <w:r>
        <w:rPr>
          <w:i/>
          <w:iCs/>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rPr>
          <w:i/>
          <w:iCs/>
        </w:rPr>
        <w:t xml:space="preserve">, and the reference beta offset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SCI2</m:t>
            </m:r>
          </m:sup>
        </m:sSubSup>
      </m:oMath>
      <w:r>
        <w:rPr>
          <w:i/>
        </w:rPr>
        <w:t xml:space="preserve"> </w:t>
      </w:r>
      <w:r>
        <w:rPr>
          <w:i/>
          <w:iCs/>
        </w:rPr>
        <w:t xml:space="preserve">is (pre)configured by resource pool.  </w:t>
      </w:r>
    </w:p>
    <w:p w14:paraId="7BC97230" w14:textId="77777777" w:rsidR="00144DF9" w:rsidRDefault="00144DF9" w:rsidP="00144DF9">
      <w:pPr>
        <w:jc w:val="both"/>
        <w:rPr>
          <w:i/>
        </w:rPr>
      </w:pPr>
    </w:p>
    <w:p w14:paraId="7A2E99B0" w14:textId="77777777" w:rsidR="00144DF9" w:rsidRDefault="00144DF9" w:rsidP="00144DF9">
      <w:pPr>
        <w:jc w:val="both"/>
        <w:rPr>
          <w:i/>
        </w:rPr>
      </w:pPr>
      <w:r w:rsidRPr="001C381A">
        <w:rPr>
          <w:b/>
          <w:i/>
          <w:u w:val="single"/>
        </w:rPr>
        <w:t xml:space="preserve">Proposal </w:t>
      </w:r>
      <w:r>
        <w:rPr>
          <w:b/>
          <w:i/>
          <w:u w:val="single"/>
        </w:rPr>
        <w:t>1c</w:t>
      </w:r>
      <w:r w:rsidRPr="001C381A">
        <w:rPr>
          <w:b/>
          <w:i/>
          <w:u w:val="single"/>
        </w:rPr>
        <w:t>:</w:t>
      </w:r>
      <w:r w:rsidRPr="001C381A">
        <w:rPr>
          <w:i/>
        </w:rPr>
        <w:t xml:space="preserve"> </w:t>
      </w:r>
      <w:r>
        <w:rPr>
          <w:i/>
        </w:rPr>
        <w:t xml:space="preserve">In sidelink </w:t>
      </w:r>
      <w:r w:rsidRPr="00F0142B">
        <w:rPr>
          <w:i/>
        </w:rPr>
        <w:t>TBS determination</w:t>
      </w:r>
      <w:r>
        <w:rPr>
          <w:i/>
        </w:rPr>
        <w:t xml:space="preserve">, the PSSCH DMRS overhead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PSSCH-DMRS</m:t>
            </m:r>
          </m:sup>
        </m:sSubSup>
      </m:oMath>
      <w:r>
        <w:rPr>
          <w:i/>
        </w:rPr>
        <w:t xml:space="preserve"> is calculated by </w:t>
      </w:r>
      <m:oMath>
        <m:nary>
          <m:naryPr>
            <m:chr m:val="∑"/>
            <m:limLoc m:val="subSup"/>
            <m:ctrlPr>
              <w:rPr>
                <w:rFonts w:ascii="Cambria Math" w:hAnsi="Cambria Math"/>
                <w:i/>
              </w:rPr>
            </m:ctrlPr>
          </m:naryPr>
          <m:sub>
            <m:r>
              <w:rPr>
                <w:rFonts w:ascii="Cambria Math" w:hAnsi="Cambria Math"/>
              </w:rPr>
              <m:t>i=0</m:t>
            </m:r>
          </m:sub>
          <m:sup>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PSSCH-DMRS</m:t>
                </m:r>
              </m:sup>
            </m:sSubSup>
          </m:sup>
          <m:e>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PSSCH-DMRS</m:t>
                </m:r>
              </m:sup>
            </m:sSubSup>
            <m:d>
              <m:dPr>
                <m:ctrlPr>
                  <w:rPr>
                    <w:rFonts w:ascii="Cambria Math" w:hAnsi="Cambria Math"/>
                    <w:i/>
                  </w:rPr>
                </m:ctrlPr>
              </m:dPr>
              <m:e>
                <m:r>
                  <w:rPr>
                    <w:rFonts w:ascii="Cambria Math" w:hAnsi="Cambria Math"/>
                  </w:rPr>
                  <m:t>i</m:t>
                </m:r>
              </m:e>
            </m:d>
          </m:e>
        </m:nary>
      </m:oMath>
      <w:r>
        <w:rPr>
          <w:i/>
        </w:rP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PSSCH-DMRS</m:t>
            </m:r>
          </m:sup>
        </m:sSubSup>
      </m:oMath>
      <w:r>
        <w:rPr>
          <w:i/>
        </w:rPr>
        <w:t xml:space="preserve"> is selected from (pre)configured DMRS time patterns based on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rPr>
          <w:i/>
        </w:rPr>
        <w:t xml:space="preserve">. </w:t>
      </w:r>
    </w:p>
    <w:p w14:paraId="68CAF7AF" w14:textId="77777777" w:rsidR="00144DF9" w:rsidRDefault="00144DF9" w:rsidP="00144DF9">
      <w:pPr>
        <w:jc w:val="both"/>
        <w:rPr>
          <w:i/>
        </w:rPr>
      </w:pPr>
    </w:p>
    <w:p w14:paraId="4D8CF36D" w14:textId="77777777" w:rsidR="00144DF9" w:rsidRDefault="00144DF9" w:rsidP="00144DF9">
      <w:pPr>
        <w:jc w:val="both"/>
        <w:rPr>
          <w:i/>
        </w:rPr>
      </w:pPr>
      <w:r w:rsidRPr="001C381A">
        <w:rPr>
          <w:b/>
          <w:i/>
          <w:u w:val="single"/>
        </w:rPr>
        <w:t xml:space="preserve">Proposal </w:t>
      </w:r>
      <w:r>
        <w:rPr>
          <w:b/>
          <w:i/>
          <w:u w:val="single"/>
        </w:rPr>
        <w:t>1d</w:t>
      </w:r>
      <w:r w:rsidRPr="001C381A">
        <w:rPr>
          <w:b/>
          <w:i/>
          <w:u w:val="single"/>
        </w:rPr>
        <w:t>:</w:t>
      </w:r>
      <w:r w:rsidRPr="001C381A">
        <w:rPr>
          <w:i/>
        </w:rPr>
        <w:t xml:space="preserve"> </w:t>
      </w:r>
      <w:r>
        <w:rPr>
          <w:i/>
        </w:rPr>
        <w:t xml:space="preserve">In sidelink </w:t>
      </w:r>
      <w:r w:rsidRPr="00F0142B">
        <w:rPr>
          <w:i/>
        </w:rPr>
        <w:t>TBS determination</w:t>
      </w:r>
      <w:r>
        <w:rPr>
          <w:i/>
        </w:rPr>
        <w:t xml:space="preserve">, the sidelink PTRS overhead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PTRS</m:t>
            </m:r>
          </m:sup>
        </m:sSubSup>
      </m:oMath>
      <w:r>
        <w:rPr>
          <w:i/>
        </w:rPr>
        <w:t xml:space="preserve"> is based on the scheduled MCS and scheduled PSSCH bandwidth.</w:t>
      </w:r>
    </w:p>
    <w:p w14:paraId="33638A4B" w14:textId="77777777" w:rsidR="00144DF9" w:rsidRDefault="00144DF9" w:rsidP="00144DF9">
      <w:pPr>
        <w:jc w:val="both"/>
        <w:rPr>
          <w:i/>
        </w:rPr>
      </w:pPr>
    </w:p>
    <w:p w14:paraId="0CBD3617" w14:textId="77777777" w:rsidR="00144DF9" w:rsidRDefault="00144DF9" w:rsidP="00144DF9">
      <w:pPr>
        <w:jc w:val="both"/>
        <w:rPr>
          <w:i/>
        </w:rPr>
      </w:pPr>
      <w:r w:rsidRPr="001C381A">
        <w:rPr>
          <w:b/>
          <w:i/>
          <w:u w:val="single"/>
        </w:rPr>
        <w:lastRenderedPageBreak/>
        <w:t xml:space="preserve">Proposal </w:t>
      </w:r>
      <w:r>
        <w:rPr>
          <w:b/>
          <w:i/>
          <w:u w:val="single"/>
        </w:rPr>
        <w:t>1e</w:t>
      </w:r>
      <w:r w:rsidRPr="001C381A">
        <w:rPr>
          <w:b/>
          <w:i/>
          <w:u w:val="single"/>
        </w:rPr>
        <w:t>:</w:t>
      </w:r>
      <w:r w:rsidRPr="001C381A">
        <w:rPr>
          <w:i/>
        </w:rPr>
        <w:t xml:space="preserve"> </w:t>
      </w:r>
      <w:r>
        <w:rPr>
          <w:i/>
        </w:rPr>
        <w:t xml:space="preserve">In sidelink </w:t>
      </w:r>
      <w:r w:rsidRPr="00F0142B">
        <w:rPr>
          <w:i/>
        </w:rPr>
        <w:t>TBS determination</w:t>
      </w:r>
      <w:r>
        <w:rPr>
          <w:i/>
        </w:rPr>
        <w:t xml:space="preserve">, the sidelink CSI-RS overhead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CSI-RS</m:t>
            </m:r>
          </m:sup>
        </m:sSubSup>
      </m:oMath>
      <w:r>
        <w:rPr>
          <w:i/>
        </w:rPr>
        <w:t xml:space="preserve"> is only counted for sidelink unicast.</w:t>
      </w:r>
    </w:p>
    <w:p w14:paraId="5697A8C9" w14:textId="77777777" w:rsidR="0005168C" w:rsidRDefault="0005168C" w:rsidP="000A1967">
      <w:pPr>
        <w:rPr>
          <w:rFonts w:eastAsia="MS Mincho"/>
          <w:sz w:val="22"/>
          <w:szCs w:val="22"/>
          <w:lang w:eastAsia="ja-JP"/>
        </w:rPr>
      </w:pPr>
    </w:p>
    <w:p w14:paraId="0FABD3F3" w14:textId="584C0B3B" w:rsidR="003C2425" w:rsidRDefault="00071841" w:rsidP="003C2425">
      <w:pPr>
        <w:jc w:val="both"/>
        <w:rPr>
          <w:i/>
        </w:rPr>
      </w:pPr>
      <w:r>
        <w:rPr>
          <w:b/>
          <w:i/>
          <w:u w:val="single"/>
        </w:rPr>
        <w:t>P</w:t>
      </w:r>
      <w:r w:rsidRPr="001C381A">
        <w:rPr>
          <w:b/>
          <w:i/>
          <w:u w:val="single"/>
        </w:rPr>
        <w:t xml:space="preserve">roposal </w:t>
      </w:r>
      <w:r w:rsidR="000654FB">
        <w:rPr>
          <w:b/>
          <w:i/>
          <w:u w:val="single"/>
        </w:rPr>
        <w:t>2</w:t>
      </w:r>
      <w:r w:rsidRPr="001C381A">
        <w:rPr>
          <w:b/>
          <w:i/>
          <w:u w:val="single"/>
        </w:rPr>
        <w:t>:</w:t>
      </w:r>
      <w:r w:rsidRPr="001C381A">
        <w:rPr>
          <w:i/>
        </w:rPr>
        <w:t xml:space="preserve"> </w:t>
      </w:r>
      <w:r>
        <w:rPr>
          <w:i/>
        </w:rPr>
        <w:t xml:space="preserve">For time domain resources of a resource pool, the periodicity is 10240 </w:t>
      </w:r>
      <w:proofErr w:type="spellStart"/>
      <w:r>
        <w:rPr>
          <w:i/>
        </w:rPr>
        <w:t>ms</w:t>
      </w:r>
      <w:proofErr w:type="spellEnd"/>
      <w:r>
        <w:rPr>
          <w:i/>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bitmap</m:t>
            </m:r>
          </m:sub>
        </m:sSub>
      </m:oMath>
      <w:r>
        <w:rPr>
          <w:i/>
        </w:rPr>
        <w:t xml:space="preserve"> is </w:t>
      </w:r>
      <m:oMath>
        <m:r>
          <w:rPr>
            <w:rFonts w:ascii="Cambria Math" w:hAnsi="Cambria Math"/>
          </w:rPr>
          <m:t>20⋅</m:t>
        </m:r>
        <m:sSup>
          <m:sSupPr>
            <m:ctrlPr>
              <w:rPr>
                <w:rFonts w:ascii="Cambria Math" w:hAnsi="Cambria Math"/>
                <w:i/>
              </w:rPr>
            </m:ctrlPr>
          </m:sSupPr>
          <m:e>
            <m:r>
              <w:rPr>
                <w:rFonts w:ascii="Cambria Math" w:hAnsi="Cambria Math"/>
              </w:rPr>
              <m:t>2</m:t>
            </m:r>
          </m:e>
          <m:sup>
            <m:r>
              <w:rPr>
                <w:rFonts w:ascii="Cambria Math" w:hAnsi="Cambria Math"/>
              </w:rPr>
              <m:t>μ</m:t>
            </m:r>
          </m:sup>
        </m:sSup>
      </m:oMath>
      <w:r>
        <w:rPr>
          <w:i/>
        </w:rPr>
        <w:t>.</w:t>
      </w:r>
    </w:p>
    <w:p w14:paraId="379710AA" w14:textId="77777777" w:rsidR="00071841" w:rsidRDefault="00071841" w:rsidP="003C2425">
      <w:pPr>
        <w:jc w:val="both"/>
        <w:rPr>
          <w:i/>
        </w:rPr>
      </w:pPr>
    </w:p>
    <w:p w14:paraId="449118F8" w14:textId="690F4D6F" w:rsidR="00071841" w:rsidRDefault="00071841" w:rsidP="00071841">
      <w:pPr>
        <w:jc w:val="both"/>
        <w:rPr>
          <w:i/>
        </w:rPr>
      </w:pPr>
      <w:r>
        <w:rPr>
          <w:b/>
          <w:i/>
          <w:u w:val="single"/>
        </w:rPr>
        <w:t>P</w:t>
      </w:r>
      <w:r w:rsidRPr="001C381A">
        <w:rPr>
          <w:b/>
          <w:i/>
          <w:u w:val="single"/>
        </w:rPr>
        <w:t xml:space="preserve">roposal </w:t>
      </w:r>
      <w:r w:rsidR="000654FB">
        <w:rPr>
          <w:b/>
          <w:i/>
          <w:u w:val="single"/>
        </w:rPr>
        <w:t>3</w:t>
      </w:r>
      <w:r w:rsidRPr="001C381A">
        <w:rPr>
          <w:b/>
          <w:i/>
          <w:u w:val="single"/>
        </w:rPr>
        <w:t>:</w:t>
      </w:r>
      <w:r w:rsidRPr="001C381A">
        <w:rPr>
          <w:i/>
        </w:rPr>
        <w:t xml:space="preserve"> </w:t>
      </w:r>
      <w:r>
        <w:rPr>
          <w:i/>
        </w:rPr>
        <w:t>If the configured PRBs for resource pool is not a multiple of sub-channel size, then the rem</w:t>
      </w:r>
      <w:r>
        <w:rPr>
          <w:rFonts w:hint="eastAsia"/>
          <w:i/>
        </w:rPr>
        <w:t>ai</w:t>
      </w:r>
      <w:r>
        <w:rPr>
          <w:i/>
        </w:rPr>
        <w:t>nder PRBs with the highest indices are not used.</w:t>
      </w:r>
    </w:p>
    <w:p w14:paraId="4B38765D" w14:textId="77777777" w:rsidR="003C2425" w:rsidRDefault="003C2425" w:rsidP="003C2425">
      <w:pPr>
        <w:jc w:val="both"/>
        <w:rPr>
          <w:i/>
        </w:rPr>
      </w:pPr>
    </w:p>
    <w:p w14:paraId="5ADF7EB7" w14:textId="11CD4874" w:rsidR="003C2425" w:rsidRDefault="003C2425" w:rsidP="003C2425">
      <w:pPr>
        <w:jc w:val="both"/>
        <w:rPr>
          <w:rFonts w:eastAsia="SimSun"/>
          <w:bCs/>
          <w:iCs/>
          <w:szCs w:val="22"/>
        </w:rPr>
      </w:pPr>
      <w:r w:rsidRPr="001E1DE4">
        <w:rPr>
          <w:rFonts w:eastAsia="SimSun"/>
          <w:b/>
          <w:bCs/>
          <w:i/>
          <w:u w:val="single"/>
        </w:rPr>
        <w:t xml:space="preserve">Proposal </w:t>
      </w:r>
      <w:r w:rsidR="000654FB">
        <w:rPr>
          <w:rFonts w:eastAsia="SimSun"/>
          <w:b/>
          <w:bCs/>
          <w:i/>
          <w:u w:val="single"/>
        </w:rPr>
        <w:t>4</w:t>
      </w:r>
      <w:r w:rsidRPr="001E1DE4">
        <w:rPr>
          <w:rFonts w:eastAsia="SimSun"/>
          <w:bCs/>
          <w:i/>
        </w:rPr>
        <w:t xml:space="preserve">: </w:t>
      </w:r>
      <w:r>
        <w:rPr>
          <w:rFonts w:eastAsia="SimSun"/>
          <w:bCs/>
          <w:i/>
          <w:szCs w:val="22"/>
        </w:rPr>
        <w:t>The scrambling sequence for first stage SCI is a gold sequence with a constant initialization value.</w:t>
      </w:r>
    </w:p>
    <w:p w14:paraId="44D5175C" w14:textId="3DEDEF93" w:rsidR="003C2425" w:rsidRDefault="003C2425" w:rsidP="003C2425">
      <w:pPr>
        <w:jc w:val="both"/>
        <w:rPr>
          <w:i/>
        </w:rPr>
      </w:pPr>
    </w:p>
    <w:p w14:paraId="2798CD4C" w14:textId="77777777" w:rsidR="00144DF9" w:rsidRDefault="00144DF9" w:rsidP="00144DF9">
      <w:pPr>
        <w:jc w:val="both"/>
        <w:rPr>
          <w:rFonts w:eastAsia="SimSun"/>
          <w:bCs/>
          <w:i/>
          <w:szCs w:val="22"/>
        </w:rPr>
      </w:pPr>
      <w:r w:rsidRPr="001E1DE4">
        <w:rPr>
          <w:rFonts w:eastAsia="SimSun"/>
          <w:b/>
          <w:bCs/>
          <w:i/>
          <w:u w:val="single"/>
        </w:rPr>
        <w:t xml:space="preserve">Proposal </w:t>
      </w:r>
      <w:r>
        <w:rPr>
          <w:rFonts w:eastAsia="SimSun"/>
          <w:b/>
          <w:bCs/>
          <w:i/>
          <w:u w:val="single"/>
        </w:rPr>
        <w:t>5</w:t>
      </w:r>
      <w:r w:rsidRPr="001E1DE4">
        <w:rPr>
          <w:rFonts w:eastAsia="SimSun"/>
          <w:bCs/>
          <w:i/>
        </w:rPr>
        <w:t xml:space="preserve">: </w:t>
      </w:r>
      <w:r w:rsidRPr="007D40BD">
        <w:rPr>
          <w:rFonts w:eastAsia="SimSun"/>
          <w:bCs/>
          <w:i/>
          <w:szCs w:val="22"/>
        </w:rPr>
        <w:t>The scrambling sequence for</w:t>
      </w:r>
      <w:r>
        <w:rPr>
          <w:rFonts w:eastAsia="SimSun"/>
          <w:bCs/>
          <w:i/>
          <w:szCs w:val="22"/>
        </w:rPr>
        <w:t xml:space="preserve"> second stage</w:t>
      </w:r>
      <w:r w:rsidRPr="007D40BD">
        <w:rPr>
          <w:rFonts w:eastAsia="SimSun"/>
          <w:bCs/>
          <w:i/>
          <w:szCs w:val="22"/>
        </w:rPr>
        <w:t xml:space="preserve"> SCI is a gold sequence with initialization value depending on PSCCH CRC</w:t>
      </w:r>
      <w:r>
        <w:rPr>
          <w:rFonts w:eastAsia="SimSun"/>
          <w:bCs/>
          <w:i/>
          <w:szCs w:val="22"/>
        </w:rPr>
        <w:t>. Specifically,</w:t>
      </w:r>
      <w:r w:rsidRPr="007D40BD">
        <w:rPr>
          <w:rFonts w:eastAsia="SimSun"/>
          <w:bCs/>
          <w:i/>
          <w:szCs w:val="22"/>
        </w:rPr>
        <w:t xml:space="preserve"> </w:t>
      </w:r>
      <m:oMath>
        <m:sSub>
          <m:sSubPr>
            <m:ctrlPr>
              <w:rPr>
                <w:rFonts w:ascii="Cambria Math" w:eastAsia="SimSun" w:hAnsi="Cambria Math"/>
                <w:bCs/>
                <w:i/>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Pr="007D40BD">
        <w:rPr>
          <w:rFonts w:eastAsia="SimSun"/>
          <w:bCs/>
          <w:i/>
          <w:szCs w:val="22"/>
        </w:rPr>
        <w:t xml:space="preserve">, where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Pr="007D40BD">
        <w:rPr>
          <w:rFonts w:eastAsia="SimSun"/>
          <w:bCs/>
          <w:i/>
          <w:szCs w:val="22"/>
        </w:rPr>
        <w:t xml:space="preserve"> is a constant with value equal to PSCCH scrambling sequence initialization value,</w:t>
      </w:r>
      <w:r>
        <w:rPr>
          <w:rFonts w:eastAsia="SimSun"/>
          <w:bCs/>
          <w:i/>
          <w:szCs w:val="22"/>
        </w:rPr>
        <w:t xml:space="preserve"> and</w:t>
      </w:r>
      <w:r w:rsidRPr="007D40BD">
        <w:rPr>
          <w:rFonts w:eastAsia="SimSun"/>
          <w:bCs/>
          <w:i/>
          <w:szCs w:val="22"/>
        </w:rPr>
        <w:t xml:space="preserv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oMath>
      <w:r w:rsidRPr="007D40BD">
        <w:rPr>
          <w:rFonts w:eastAsia="SimSun"/>
          <w:bCs/>
          <w:i/>
          <w:szCs w:val="22"/>
        </w:rPr>
        <w:t xml:space="preserve"> is the 16 LSB of PSCCH CRC.</w:t>
      </w:r>
    </w:p>
    <w:p w14:paraId="2EBF27F6" w14:textId="49B3427D" w:rsidR="003C2425" w:rsidRDefault="003C2425" w:rsidP="003C2425">
      <w:pPr>
        <w:jc w:val="both"/>
        <w:rPr>
          <w:rFonts w:eastAsia="SimSun"/>
          <w:bCs/>
          <w:i/>
          <w:szCs w:val="22"/>
        </w:rPr>
      </w:pPr>
    </w:p>
    <w:p w14:paraId="352B7E0F" w14:textId="77777777" w:rsidR="00144DF9" w:rsidRDefault="00144DF9" w:rsidP="00144DF9">
      <w:pPr>
        <w:jc w:val="both"/>
        <w:rPr>
          <w:rFonts w:eastAsia="SimSun"/>
          <w:bCs/>
          <w:i/>
          <w:szCs w:val="22"/>
        </w:rPr>
      </w:pPr>
      <w:r w:rsidRPr="001C381A">
        <w:rPr>
          <w:b/>
          <w:i/>
          <w:u w:val="single"/>
        </w:rPr>
        <w:t xml:space="preserve">Proposal </w:t>
      </w:r>
      <w:r>
        <w:rPr>
          <w:b/>
          <w:i/>
          <w:u w:val="single"/>
        </w:rPr>
        <w:t>6</w:t>
      </w:r>
      <w:r w:rsidRPr="001C381A">
        <w:rPr>
          <w:b/>
          <w:i/>
          <w:u w:val="single"/>
        </w:rPr>
        <w:t>:</w:t>
      </w:r>
      <w:r w:rsidRPr="001C381A">
        <w:rPr>
          <w:i/>
        </w:rPr>
        <w:t xml:space="preserve"> </w:t>
      </w:r>
      <w:r w:rsidRPr="007D40BD">
        <w:rPr>
          <w:rFonts w:eastAsia="SimSun"/>
          <w:bCs/>
          <w:i/>
          <w:szCs w:val="22"/>
        </w:rPr>
        <w:t>The scrambling sequence for data on PSSCH is a gold sequence with initialization value depending on both first stage SCI CRC and second stage SCI CRC</w:t>
      </w:r>
      <w:r>
        <w:rPr>
          <w:rFonts w:eastAsia="SimSun"/>
          <w:bCs/>
          <w:i/>
          <w:szCs w:val="22"/>
        </w:rPr>
        <w:t xml:space="preserve">. Specifically, </w:t>
      </w:r>
      <m:oMath>
        <m:sSub>
          <m:sSubPr>
            <m:ctrlPr>
              <w:rPr>
                <w:rFonts w:ascii="Cambria Math" w:eastAsia="SimSun" w:hAnsi="Cambria Math"/>
                <w:bCs/>
                <w:i/>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Pr="007D40BD">
        <w:rPr>
          <w:rFonts w:eastAsia="SimSun"/>
          <w:bCs/>
          <w:i/>
          <w:szCs w:val="22"/>
        </w:rPr>
        <w:t xml:space="preserve">, where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Pr="007D40BD">
        <w:rPr>
          <w:rFonts w:eastAsia="SimSun"/>
          <w:bCs/>
          <w:i/>
          <w:szCs w:val="22"/>
        </w:rPr>
        <w:t xml:space="preserve"> is a constant with value equal to PSCCH scrambling sequence initialization value,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oMath>
      <w:r w:rsidRPr="007D40BD">
        <w:rPr>
          <w:rFonts w:eastAsia="SimSun"/>
          <w:bCs/>
          <w:i/>
          <w:szCs w:val="22"/>
        </w:rPr>
        <w:t xml:space="preserve"> is the XOR of 16 MSB of first stage SCI CRC and 16 LSB of second stage SCI CRC.</w:t>
      </w:r>
      <w:r>
        <w:rPr>
          <w:rFonts w:eastAsia="SimSun"/>
          <w:bCs/>
          <w:iCs/>
          <w:szCs w:val="22"/>
        </w:rPr>
        <w:t xml:space="preserve"> </w:t>
      </w:r>
    </w:p>
    <w:p w14:paraId="7D0A8043" w14:textId="05731F0B" w:rsidR="003C2425" w:rsidRDefault="003C2425" w:rsidP="003C2425">
      <w:pPr>
        <w:jc w:val="both"/>
        <w:rPr>
          <w:rFonts w:eastAsia="SimSun"/>
          <w:bCs/>
          <w:i/>
          <w:szCs w:val="22"/>
        </w:rPr>
      </w:pPr>
    </w:p>
    <w:p w14:paraId="11BD628B" w14:textId="77777777" w:rsidR="00144DF9" w:rsidRDefault="00144DF9" w:rsidP="00144DF9">
      <w:pPr>
        <w:contextualSpacing/>
        <w:jc w:val="both"/>
      </w:pPr>
      <w:r w:rsidRPr="001C381A">
        <w:rPr>
          <w:b/>
          <w:i/>
          <w:u w:val="single"/>
        </w:rPr>
        <w:t xml:space="preserve">Proposal </w:t>
      </w:r>
      <w:r>
        <w:rPr>
          <w:b/>
          <w:i/>
          <w:u w:val="single"/>
        </w:rPr>
        <w:t>7</w:t>
      </w:r>
      <w:r w:rsidRPr="001C381A">
        <w:rPr>
          <w:b/>
          <w:i/>
          <w:u w:val="single"/>
        </w:rPr>
        <w:t>:</w:t>
      </w:r>
      <w:r w:rsidRPr="001C381A">
        <w:rPr>
          <w:i/>
        </w:rPr>
        <w:t xml:space="preserve"> </w:t>
      </w:r>
      <w:r>
        <w:rPr>
          <w:rFonts w:eastAsia="SimSun"/>
          <w:bCs/>
          <w:i/>
          <w:szCs w:val="22"/>
        </w:rPr>
        <w:t xml:space="preserve">Two second stage SCI formats are defined. The first format is used for broadcast, unicast and groupcast without feedback, groupcast HARQ option 2 and unicast with feedback. The second format is used for groupcast HARQ option 1. </w:t>
      </w:r>
    </w:p>
    <w:p w14:paraId="6C0CBB5B" w14:textId="0DDA5EBC" w:rsidR="003C2425" w:rsidRDefault="003C2425" w:rsidP="003C2425">
      <w:pPr>
        <w:jc w:val="both"/>
        <w:rPr>
          <w:i/>
        </w:rPr>
      </w:pPr>
    </w:p>
    <w:p w14:paraId="458C9C5E" w14:textId="1778884A" w:rsidR="003C2425" w:rsidRDefault="003C2425" w:rsidP="003C2425">
      <w:pPr>
        <w:contextualSpacing/>
        <w:jc w:val="both"/>
      </w:pPr>
      <w:r w:rsidRPr="001C381A">
        <w:rPr>
          <w:b/>
          <w:i/>
          <w:u w:val="single"/>
        </w:rPr>
        <w:t xml:space="preserve">Proposal </w:t>
      </w:r>
      <w:r w:rsidR="000654FB">
        <w:rPr>
          <w:b/>
          <w:i/>
          <w:u w:val="single"/>
        </w:rPr>
        <w:t>8</w:t>
      </w:r>
      <w:r w:rsidRPr="001C381A">
        <w:rPr>
          <w:b/>
          <w:i/>
          <w:u w:val="single"/>
        </w:rPr>
        <w:t>:</w:t>
      </w:r>
      <w:r w:rsidRPr="001C381A">
        <w:rPr>
          <w:i/>
        </w:rPr>
        <w:t xml:space="preserve"> </w:t>
      </w:r>
      <w:r>
        <w:rPr>
          <w:rFonts w:eastAsia="SimSun"/>
          <w:bCs/>
          <w:i/>
          <w:szCs w:val="22"/>
        </w:rPr>
        <w:t xml:space="preserve">The size of the “second stage SCI format” field in first stage SCI is 2 bits.  </w:t>
      </w:r>
    </w:p>
    <w:p w14:paraId="0D711057" w14:textId="40D3B4D4" w:rsidR="003C2425" w:rsidRDefault="003C2425" w:rsidP="003C2425">
      <w:pPr>
        <w:jc w:val="both"/>
        <w:rPr>
          <w:i/>
        </w:rPr>
      </w:pPr>
    </w:p>
    <w:p w14:paraId="48E59DE6" w14:textId="460313EF" w:rsidR="00B00EEA" w:rsidRDefault="00071841" w:rsidP="00B00EEA">
      <w:pPr>
        <w:contextualSpacing/>
        <w:jc w:val="both"/>
        <w:rPr>
          <w:rFonts w:eastAsia="SimSun"/>
          <w:bCs/>
          <w:i/>
          <w:szCs w:val="22"/>
        </w:rPr>
      </w:pPr>
      <w:r w:rsidRPr="001C381A">
        <w:rPr>
          <w:b/>
          <w:i/>
          <w:u w:val="single"/>
        </w:rPr>
        <w:t xml:space="preserve">Proposal </w:t>
      </w:r>
      <w:r w:rsidR="000654FB">
        <w:rPr>
          <w:b/>
          <w:i/>
          <w:u w:val="single"/>
        </w:rPr>
        <w:t>9</w:t>
      </w:r>
      <w:r w:rsidRPr="001C381A">
        <w:rPr>
          <w:b/>
          <w:i/>
          <w:u w:val="single"/>
        </w:rPr>
        <w:t>:</w:t>
      </w:r>
      <w:r w:rsidRPr="001C381A">
        <w:rPr>
          <w:i/>
        </w:rPr>
        <w:t xml:space="preserve"> </w:t>
      </w:r>
      <w:r>
        <w:rPr>
          <w:rFonts w:eastAsia="SimSun"/>
          <w:bCs/>
          <w:i/>
          <w:szCs w:val="22"/>
        </w:rPr>
        <w:t>For the first format of second stage SCI, an additional bit is included in second stage SCI to indicate whether HARQ feedback is disabled.</w:t>
      </w:r>
    </w:p>
    <w:p w14:paraId="5FD1C11A" w14:textId="77777777" w:rsidR="00752A24" w:rsidRDefault="00752A24" w:rsidP="00B00EEA">
      <w:pPr>
        <w:contextualSpacing/>
        <w:jc w:val="both"/>
        <w:rPr>
          <w:rFonts w:eastAsia="SimSun"/>
          <w:bCs/>
          <w:i/>
          <w:szCs w:val="22"/>
        </w:rPr>
      </w:pPr>
    </w:p>
    <w:p w14:paraId="353B280C" w14:textId="4ECCCDFD" w:rsidR="00752A24" w:rsidRDefault="00752A24" w:rsidP="00B00EEA">
      <w:pPr>
        <w:jc w:val="both"/>
        <w:rPr>
          <w:rFonts w:eastAsia="SimSun"/>
          <w:bCs/>
          <w:i/>
          <w:szCs w:val="22"/>
        </w:rPr>
      </w:pPr>
      <w:r w:rsidRPr="001C381A">
        <w:rPr>
          <w:b/>
          <w:i/>
          <w:u w:val="single"/>
        </w:rPr>
        <w:t xml:space="preserve">Proposal </w:t>
      </w:r>
      <w:r>
        <w:rPr>
          <w:b/>
          <w:i/>
          <w:u w:val="single"/>
        </w:rPr>
        <w:t>1</w:t>
      </w:r>
      <w:r w:rsidR="000654FB">
        <w:rPr>
          <w:b/>
          <w:i/>
          <w:u w:val="single"/>
        </w:rPr>
        <w:t>0</w:t>
      </w:r>
      <w:r w:rsidRPr="001C381A">
        <w:rPr>
          <w:b/>
          <w:i/>
          <w:u w:val="single"/>
        </w:rPr>
        <w:t>:</w:t>
      </w:r>
      <w:r w:rsidRPr="001C381A">
        <w:rPr>
          <w:i/>
        </w:rPr>
        <w:t xml:space="preserve"> </w:t>
      </w:r>
      <w:r>
        <w:rPr>
          <w:rFonts w:eastAsia="SimSun"/>
          <w:bCs/>
          <w:i/>
          <w:szCs w:val="22"/>
        </w:rPr>
        <w:t xml:space="preserve">For the first format of second stage SCI, an additional bit is included in second stage SCI to indicate PSFCH resource determination scheme. </w:t>
      </w:r>
    </w:p>
    <w:p w14:paraId="1905B7AD" w14:textId="0B641C87" w:rsidR="00071841" w:rsidRDefault="00071841" w:rsidP="00B00EEA">
      <w:pPr>
        <w:contextualSpacing/>
        <w:jc w:val="both"/>
        <w:rPr>
          <w:rFonts w:eastAsia="SimSun"/>
          <w:bCs/>
          <w:i/>
          <w:szCs w:val="22"/>
        </w:rPr>
      </w:pPr>
    </w:p>
    <w:p w14:paraId="1AA70EC2" w14:textId="3CD70CF6" w:rsidR="00071841" w:rsidRPr="00071841" w:rsidRDefault="00071841" w:rsidP="00B00EEA">
      <w:pPr>
        <w:jc w:val="both"/>
        <w:rPr>
          <w:rFonts w:eastAsia="SimSun"/>
          <w:bCs/>
          <w:i/>
          <w:szCs w:val="22"/>
        </w:rPr>
      </w:pPr>
      <w:r w:rsidRPr="001C381A">
        <w:rPr>
          <w:b/>
          <w:i/>
          <w:u w:val="single"/>
        </w:rPr>
        <w:t xml:space="preserve">Proposal </w:t>
      </w:r>
      <w:r>
        <w:rPr>
          <w:b/>
          <w:i/>
          <w:u w:val="single"/>
        </w:rPr>
        <w:t>1</w:t>
      </w:r>
      <w:r w:rsidR="000654FB">
        <w:rPr>
          <w:b/>
          <w:i/>
          <w:u w:val="single"/>
        </w:rPr>
        <w:t>1</w:t>
      </w:r>
      <w:r w:rsidRPr="001C381A">
        <w:rPr>
          <w:b/>
          <w:i/>
          <w:u w:val="single"/>
        </w:rPr>
        <w:t>:</w:t>
      </w:r>
      <w:r w:rsidRPr="001C381A">
        <w:rPr>
          <w:i/>
        </w:rPr>
        <w:t xml:space="preserve"> </w:t>
      </w:r>
      <w:r>
        <w:rPr>
          <w:rFonts w:eastAsia="SimSun"/>
          <w:bCs/>
          <w:i/>
          <w:szCs w:val="22"/>
        </w:rPr>
        <w:t>CRC length of second stage SCI is 24 bits.</w:t>
      </w:r>
    </w:p>
    <w:p w14:paraId="0F40ED8B" w14:textId="77777777" w:rsidR="00B00EEA" w:rsidRDefault="00B00EEA" w:rsidP="000A1967">
      <w:pPr>
        <w:rPr>
          <w:rFonts w:eastAsia="MS Mincho"/>
          <w:sz w:val="22"/>
          <w:szCs w:val="22"/>
          <w:lang w:eastAsia="ja-JP"/>
        </w:rPr>
      </w:pPr>
    </w:p>
    <w:p w14:paraId="379CC34C" w14:textId="426CA670" w:rsidR="00B00EEA" w:rsidRPr="003C2425" w:rsidRDefault="00B00EEA" w:rsidP="00B00EEA">
      <w:pPr>
        <w:jc w:val="both"/>
        <w:rPr>
          <w:i/>
        </w:rPr>
      </w:pPr>
      <w:r w:rsidRPr="003C2425">
        <w:rPr>
          <w:b/>
          <w:i/>
          <w:u w:val="single"/>
        </w:rPr>
        <w:t xml:space="preserve">Proposal </w:t>
      </w:r>
      <w:r w:rsidR="000654FB">
        <w:rPr>
          <w:b/>
          <w:i/>
          <w:u w:val="single"/>
        </w:rPr>
        <w:t>12</w:t>
      </w:r>
      <w:r w:rsidRPr="003C2425">
        <w:rPr>
          <w:b/>
          <w:i/>
          <w:u w:val="single"/>
        </w:rPr>
        <w:t>:</w:t>
      </w:r>
      <w:r w:rsidRPr="003C2425">
        <w:rPr>
          <w:i/>
        </w:rPr>
        <w:t xml:space="preserve"> Support of 256QAM by a UE from the receiver perspective is based on UE capability.</w:t>
      </w:r>
    </w:p>
    <w:p w14:paraId="2AF51A66" w14:textId="436ACD54" w:rsidR="00C400E4" w:rsidRDefault="00C400E4" w:rsidP="000A1967">
      <w:pPr>
        <w:rPr>
          <w:rFonts w:eastAsia="MS Mincho"/>
          <w:sz w:val="22"/>
          <w:szCs w:val="22"/>
          <w:lang w:eastAsia="ja-JP"/>
        </w:rPr>
      </w:pPr>
    </w:p>
    <w:p w14:paraId="7299D758" w14:textId="7B5C6955" w:rsidR="00B00EEA" w:rsidRPr="003C2425" w:rsidRDefault="00B00EEA" w:rsidP="00B00EEA">
      <w:pPr>
        <w:jc w:val="both"/>
        <w:rPr>
          <w:iCs/>
        </w:rPr>
      </w:pPr>
      <w:r w:rsidRPr="00B00EEA">
        <w:rPr>
          <w:b/>
          <w:i/>
          <w:u w:val="single"/>
        </w:rPr>
        <w:t xml:space="preserve">Proposal </w:t>
      </w:r>
      <w:r>
        <w:rPr>
          <w:b/>
          <w:i/>
          <w:u w:val="single"/>
        </w:rPr>
        <w:t>1</w:t>
      </w:r>
      <w:r w:rsidR="000654FB">
        <w:rPr>
          <w:b/>
          <w:i/>
          <w:u w:val="single"/>
        </w:rPr>
        <w:t>3</w:t>
      </w:r>
      <w:r w:rsidRPr="00B00EEA">
        <w:rPr>
          <w:b/>
          <w:i/>
          <w:u w:val="single"/>
        </w:rPr>
        <w:t>:</w:t>
      </w:r>
      <w:r w:rsidRPr="00B00EEA">
        <w:rPr>
          <w:i/>
        </w:rPr>
        <w:t xml:space="preserve"> The legacy 64QAM MCS table is the default MCS table for NR V2X sidelink. The usage of 256QAM MCS table or low-spectral efficiency 64QAM MCS table is via PC5-RRC configuration.</w:t>
      </w:r>
    </w:p>
    <w:p w14:paraId="7353D831" w14:textId="77777777" w:rsidR="00B00EEA" w:rsidRPr="00A6576F" w:rsidRDefault="00B00EEA"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2F04410F" w14:textId="20160FE3" w:rsidR="00C67F10" w:rsidRDefault="006400C7"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0471832"/>
      <w:bookmarkStart w:id="2" w:name="_Ref20563970"/>
      <w:r w:rsidRPr="006400C7">
        <w:t>Chairman’s Notes, 3GPP TSG RAN</w:t>
      </w:r>
      <w:r w:rsidR="00C67F10">
        <w:t xml:space="preserve"> </w:t>
      </w:r>
      <w:r w:rsidRPr="006400C7">
        <w:t>#</w:t>
      </w:r>
      <w:r w:rsidR="00C67F10">
        <w:t>86</w:t>
      </w:r>
      <w:r w:rsidRPr="006400C7">
        <w:t xml:space="preserve"> Meeting, </w:t>
      </w:r>
      <w:proofErr w:type="spellStart"/>
      <w:r w:rsidR="00C67F10">
        <w:t>Sitges</w:t>
      </w:r>
      <w:proofErr w:type="spellEnd"/>
      <w:r w:rsidR="00C67F10">
        <w:t>, ES, Dec</w:t>
      </w:r>
      <w:r w:rsidRPr="006400C7">
        <w:t>. 2019.</w:t>
      </w:r>
      <w:bookmarkEnd w:id="1"/>
      <w:bookmarkEnd w:id="2"/>
    </w:p>
    <w:p w14:paraId="383F81D8" w14:textId="2C33D274" w:rsidR="00C67F10" w:rsidRDefault="00C67F10"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29545847"/>
      <w:r>
        <w:t xml:space="preserve">RP-193198, Task list for 5G V2X in RAN1 #100, </w:t>
      </w:r>
      <w:proofErr w:type="spellStart"/>
      <w:r>
        <w:t>Sitges</w:t>
      </w:r>
      <w:proofErr w:type="spellEnd"/>
      <w:r>
        <w:t>, ES, Dec. 2019.</w:t>
      </w:r>
      <w:bookmarkEnd w:id="3"/>
      <w:r>
        <w:t xml:space="preserve"> </w:t>
      </w:r>
    </w:p>
    <w:p w14:paraId="5B1D720C" w14:textId="27093B3C" w:rsidR="009F6FF1" w:rsidRDefault="009F6FF1"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4658605"/>
      <w:r>
        <w:t>Chairman’s Notes, 3GPP TSG RAN1 WG1 #100-e Meeting, Feb. 2020.</w:t>
      </w:r>
      <w:bookmarkEnd w:id="4"/>
    </w:p>
    <w:p w14:paraId="283233AE" w14:textId="55B57F9D" w:rsidR="006115ED" w:rsidRDefault="006115ED"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34661652"/>
      <w:r>
        <w:t>3GPP email discussion on 2</w:t>
      </w:r>
      <w:r w:rsidRPr="006115ED">
        <w:rPr>
          <w:vertAlign w:val="superscript"/>
        </w:rPr>
        <w:t>nd</w:t>
      </w:r>
      <w:r>
        <w:t xml:space="preserve"> stage SCI mapping, [99-NR-08], Nov. 2019.</w:t>
      </w:r>
      <w:bookmarkEnd w:id="5"/>
    </w:p>
    <w:p w14:paraId="04ADFFBD" w14:textId="6544E54A" w:rsidR="00DA348F" w:rsidRDefault="00DA348F" w:rsidP="00DA348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31108368"/>
      <w:r w:rsidRPr="006400C7">
        <w:t>Chairman’s Notes, 3GPP TSG RAN1 WG1 #98</w:t>
      </w:r>
      <w:r>
        <w:t>bis</w:t>
      </w:r>
      <w:r w:rsidRPr="006400C7">
        <w:t xml:space="preserve"> Meeting, </w:t>
      </w:r>
      <w:r>
        <w:t>Chongqing</w:t>
      </w:r>
      <w:r w:rsidRPr="006400C7">
        <w:t xml:space="preserve">, </w:t>
      </w:r>
      <w:r>
        <w:t>China</w:t>
      </w:r>
      <w:r w:rsidRPr="006400C7">
        <w:t xml:space="preserve">, </w:t>
      </w:r>
      <w:r>
        <w:t>Oct</w:t>
      </w:r>
      <w:r w:rsidRPr="006400C7">
        <w:t>. 2019.</w:t>
      </w:r>
      <w:bookmarkEnd w:id="6"/>
      <w:r w:rsidRPr="006400C7">
        <w:t xml:space="preserve"> </w:t>
      </w:r>
    </w:p>
    <w:p w14:paraId="59E11E6C" w14:textId="77777777" w:rsidR="006E665B" w:rsidRDefault="006E665B" w:rsidP="006E665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34823177"/>
      <w:bookmarkStart w:id="8" w:name="_Ref34832867"/>
      <w:r w:rsidRPr="006400C7">
        <w:lastRenderedPageBreak/>
        <w:t>Chairman’s Notes, 3GPP TSG RAN1 WG1 #9</w:t>
      </w:r>
      <w:r>
        <w:t>7</w:t>
      </w:r>
      <w:r w:rsidRPr="006400C7">
        <w:t xml:space="preserve"> Meeting, </w:t>
      </w:r>
      <w:r>
        <w:t>Reno</w:t>
      </w:r>
      <w:r w:rsidRPr="006400C7">
        <w:t xml:space="preserve">, </w:t>
      </w:r>
      <w:r>
        <w:t>USA</w:t>
      </w:r>
      <w:r w:rsidRPr="006400C7">
        <w:t xml:space="preserve">, </w:t>
      </w:r>
      <w:r>
        <w:t>May</w:t>
      </w:r>
      <w:r w:rsidRPr="006400C7">
        <w:t xml:space="preserve"> 2019</w:t>
      </w:r>
      <w:bookmarkEnd w:id="7"/>
      <w:r>
        <w:t>.</w:t>
      </w:r>
      <w:bookmarkStart w:id="9" w:name="_Ref23754280"/>
      <w:bookmarkEnd w:id="8"/>
    </w:p>
    <w:p w14:paraId="7EAF0EE4" w14:textId="4763C749" w:rsidR="00043063" w:rsidRDefault="00B00EEA" w:rsidP="006E665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34832836"/>
      <w:r>
        <w:t>3GPP TS38.822, NR user equipment (UE) feature list, v15.0.1, Jul. 2019.</w:t>
      </w:r>
      <w:bookmarkEnd w:id="9"/>
      <w:bookmarkEnd w:id="10"/>
      <w:r>
        <w:t xml:space="preserve"> </w:t>
      </w:r>
      <w:bookmarkStart w:id="11" w:name="_Ref20772424"/>
      <w:bookmarkEnd w:id="11"/>
    </w:p>
    <w:sectPr w:rsidR="0004306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AA55D" w14:textId="77777777" w:rsidR="003D7193" w:rsidRDefault="003D7193">
      <w:r>
        <w:separator/>
      </w:r>
    </w:p>
  </w:endnote>
  <w:endnote w:type="continuationSeparator" w:id="0">
    <w:p w14:paraId="3FC5CAE6" w14:textId="77777777" w:rsidR="003D7193" w:rsidRDefault="003D7193">
      <w:r>
        <w:continuationSeparator/>
      </w:r>
    </w:p>
  </w:endnote>
  <w:endnote w:type="continuationNotice" w:id="1">
    <w:p w14:paraId="4F725EDB" w14:textId="77777777" w:rsidR="003D7193" w:rsidRDefault="003D7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41DD6" w:rsidRDefault="00541DD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4A3EF" w14:textId="77777777" w:rsidR="003D7193" w:rsidRDefault="003D7193">
      <w:r>
        <w:separator/>
      </w:r>
    </w:p>
  </w:footnote>
  <w:footnote w:type="continuationSeparator" w:id="0">
    <w:p w14:paraId="1E122CC2" w14:textId="77777777" w:rsidR="003D7193" w:rsidRDefault="003D7193">
      <w:r>
        <w:continuationSeparator/>
      </w:r>
    </w:p>
  </w:footnote>
  <w:footnote w:type="continuationNotice" w:id="1">
    <w:p w14:paraId="075C7F51" w14:textId="77777777" w:rsidR="003D7193" w:rsidRDefault="003D71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B36B82"/>
    <w:multiLevelType w:val="hybridMultilevel"/>
    <w:tmpl w:val="71C02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81CAD"/>
    <w:multiLevelType w:val="hybridMultilevel"/>
    <w:tmpl w:val="1A7EA820"/>
    <w:lvl w:ilvl="0" w:tplc="04090001">
      <w:start w:val="1"/>
      <w:numFmt w:val="bullet"/>
      <w:lvlText w:val=""/>
      <w:lvlJc w:val="left"/>
      <w:pPr>
        <w:ind w:left="800" w:hanging="40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0B5819"/>
    <w:multiLevelType w:val="hybridMultilevel"/>
    <w:tmpl w:val="E4F883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85327"/>
    <w:multiLevelType w:val="hybridMultilevel"/>
    <w:tmpl w:val="94981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C55525"/>
    <w:multiLevelType w:val="hybridMultilevel"/>
    <w:tmpl w:val="16ECB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E06006"/>
    <w:multiLevelType w:val="hybridMultilevel"/>
    <w:tmpl w:val="57384FD8"/>
    <w:lvl w:ilvl="0" w:tplc="D0527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841AAD"/>
    <w:multiLevelType w:val="multilevel"/>
    <w:tmpl w:val="C65C3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6"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B992AE4"/>
    <w:multiLevelType w:val="hybridMultilevel"/>
    <w:tmpl w:val="3336FB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A73D19"/>
    <w:multiLevelType w:val="hybridMultilevel"/>
    <w:tmpl w:val="393CF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0"/>
  </w:num>
  <w:num w:numId="3">
    <w:abstractNumId w:val="21"/>
  </w:num>
  <w:num w:numId="4">
    <w:abstractNumId w:val="22"/>
  </w:num>
  <w:num w:numId="5">
    <w:abstractNumId w:val="15"/>
  </w:num>
  <w:num w:numId="6">
    <w:abstractNumId w:val="26"/>
  </w:num>
  <w:num w:numId="7">
    <w:abstractNumId w:val="34"/>
  </w:num>
  <w:num w:numId="8">
    <w:abstractNumId w:val="16"/>
  </w:num>
  <w:num w:numId="9">
    <w:abstractNumId w:val="32"/>
  </w:num>
  <w:num w:numId="10">
    <w:abstractNumId w:val="0"/>
  </w:num>
  <w:num w:numId="11">
    <w:abstractNumId w:val="35"/>
  </w:num>
  <w:num w:numId="12">
    <w:abstractNumId w:val="8"/>
  </w:num>
  <w:num w:numId="13">
    <w:abstractNumId w:val="33"/>
  </w:num>
  <w:num w:numId="14">
    <w:abstractNumId w:val="24"/>
  </w:num>
  <w:num w:numId="15">
    <w:abstractNumId w:val="38"/>
  </w:num>
  <w:num w:numId="16">
    <w:abstractNumId w:val="42"/>
  </w:num>
  <w:num w:numId="17">
    <w:abstractNumId w:val="18"/>
  </w:num>
  <w:num w:numId="18">
    <w:abstractNumId w:val="9"/>
  </w:num>
  <w:num w:numId="19">
    <w:abstractNumId w:val="28"/>
  </w:num>
  <w:num w:numId="20">
    <w:abstractNumId w:val="6"/>
  </w:num>
  <w:num w:numId="21">
    <w:abstractNumId w:val="29"/>
  </w:num>
  <w:num w:numId="22">
    <w:abstractNumId w:val="7"/>
  </w:num>
  <w:num w:numId="23">
    <w:abstractNumId w:val="13"/>
  </w:num>
  <w:num w:numId="24">
    <w:abstractNumId w:val="3"/>
  </w:num>
  <w:num w:numId="25">
    <w:abstractNumId w:val="1"/>
  </w:num>
  <w:num w:numId="26">
    <w:abstractNumId w:val="27"/>
  </w:num>
  <w:num w:numId="27">
    <w:abstractNumId w:val="36"/>
  </w:num>
  <w:num w:numId="28">
    <w:abstractNumId w:val="25"/>
  </w:num>
  <w:num w:numId="29">
    <w:abstractNumId w:val="4"/>
  </w:num>
  <w:num w:numId="30">
    <w:abstractNumId w:val="17"/>
  </w:num>
  <w:num w:numId="31">
    <w:abstractNumId w:val="5"/>
  </w:num>
  <w:num w:numId="32">
    <w:abstractNumId w:val="20"/>
  </w:num>
  <w:num w:numId="33">
    <w:abstractNumId w:val="39"/>
  </w:num>
  <w:num w:numId="34">
    <w:abstractNumId w:val="19"/>
  </w:num>
  <w:num w:numId="35">
    <w:abstractNumId w:val="37"/>
  </w:num>
  <w:num w:numId="36">
    <w:abstractNumId w:val="41"/>
  </w:num>
  <w:num w:numId="37">
    <w:abstractNumId w:val="14"/>
  </w:num>
  <w:num w:numId="38">
    <w:abstractNumId w:val="31"/>
  </w:num>
  <w:num w:numId="39">
    <w:abstractNumId w:val="12"/>
  </w:num>
  <w:num w:numId="40">
    <w:abstractNumId w:val="11"/>
  </w:num>
  <w:num w:numId="41">
    <w:abstractNumId w:val="40"/>
  </w:num>
  <w:num w:numId="42">
    <w:abstractNumId w:val="23"/>
  </w:num>
  <w:num w:numId="4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50314"/>
    <w:rsid w:val="00050779"/>
    <w:rsid w:val="000508AD"/>
    <w:rsid w:val="000514F9"/>
    <w:rsid w:val="0005168C"/>
    <w:rsid w:val="0005170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498"/>
    <w:rsid w:val="000654FB"/>
    <w:rsid w:val="00065E1A"/>
    <w:rsid w:val="000668B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212"/>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E1C"/>
    <w:rsid w:val="00133E57"/>
    <w:rsid w:val="0013408B"/>
    <w:rsid w:val="001344A3"/>
    <w:rsid w:val="001344C0"/>
    <w:rsid w:val="001346FA"/>
    <w:rsid w:val="00135252"/>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483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8F7"/>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97C"/>
    <w:rsid w:val="00622BDB"/>
    <w:rsid w:val="00622FBF"/>
    <w:rsid w:val="006234A6"/>
    <w:rsid w:val="006235E2"/>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09A2"/>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5C6"/>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A74"/>
    <w:rsid w:val="00EE6AEB"/>
    <w:rsid w:val="00EE6E87"/>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267"/>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10</Pages>
  <Words>4390</Words>
  <Characters>25026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2020-04-10T19:06:00Z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